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432" w:lineRule="atLeast"/>
        <w:ind w:left="0" w:right="0" w:firstLine="0"/>
        <w:jc w:val="center"/>
        <w:textAlignment w:val="baseline"/>
        <w:rPr>
          <w:rFonts w:ascii="微软雅黑" w:hAnsi="微软雅黑" w:eastAsia="微软雅黑" w:cs="微软雅黑"/>
          <w:b/>
          <w:bCs/>
          <w:i w:val="0"/>
          <w:iCs w:val="0"/>
          <w:caps w:val="0"/>
          <w:color w:val="383940"/>
          <w:spacing w:val="0"/>
          <w:sz w:val="44"/>
          <w:szCs w:val="44"/>
        </w:rPr>
      </w:pPr>
      <w:r>
        <w:rPr>
          <w:rFonts w:hint="eastAsia" w:ascii="微软雅黑" w:hAnsi="微软雅黑" w:eastAsia="微软雅黑" w:cs="微软雅黑"/>
          <w:b/>
          <w:bCs/>
          <w:i w:val="0"/>
          <w:iCs w:val="0"/>
          <w:caps w:val="0"/>
          <w:color w:val="383940"/>
          <w:spacing w:val="0"/>
          <w:sz w:val="44"/>
          <w:szCs w:val="44"/>
          <w:bdr w:val="none" w:color="auto" w:sz="0" w:space="0"/>
          <w:shd w:val="clear" w:fill="FFFFFF"/>
          <w:vertAlign w:val="baseline"/>
        </w:rPr>
        <w:t>中华人民共和国招标投标法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《中华人民共和国招标投标法》已由中华人民共和国第九届全国人民代表大会常务委员会第十一次会议于1999年8月30日通过，现予公布，自2000年1月1日起施行。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中华人民共和国主席 江泽民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1999年8月30日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　　</w:t>
      </w:r>
      <w:bookmarkStart w:id="0" w:name="_GoBack"/>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中华人民共和国招标投标法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　　（1999年8月30日第九届全国人民代表大会常务委员会第十一次会议通过）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　　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第二章 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第三章 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第四章 开标、评标和中标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中华人民共和国招标投标法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第一条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为了规范招标投标活动，保护国家利益、社会公共利益和招标投标活动当事人的合法权益，提高经济效益，保证项目质量，制定本法。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在中华人民共和国境内进行招标投标活动，适用本法。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在中华人民共和国境内进行下列工程建设项目包括项目的勘察、设计、施工、监理以及与工程建设有关的重要设备、材料等的采购，必须进行招标：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（一）大型基础设施、公用事业等关系社会公共利益、公众安全的项目；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（二）全部或者部分使用国有资金投资或者国家融资的项目；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（三）使用国际组织或者外国政府贷款、援助资金的项目。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前款所列项目的具体范围和规模标准，由国务院发展计划部门会同国务院有关部门制订，报国务院批准。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法律或者国务院对必须进行招标的其他项目的范围有规定的，依照其规定。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任何单位和个人不得将依法必须进行招标的项目化整为零或者以其他任何方式规避招标。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招标投标活动应当遵循公开、公平、公正和诚实信用的原则。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依法必须进行招标的项目，其招标投标活动不受地区或者部门的限制。任何单位和个人不得违法限制或者排斥本地区、本系统以外的法人或者其他组织参加投标，不得以任何方式非法干涉招标投标活动。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第七条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招标投标活动及其当事人应当接受依法实施的监督。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有关行政监督部门依法对招标投标活动实施监督，依法查处招标投标活动中的违法行为。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对招标投标活动的行政监督及有关部门的具体职权划分，由国务院规定。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第二章　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第八条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招标人是依照本法规定提出招标项目、进行招标的法人或者其他组织。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第九条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招标项目按照国家有关规定需要履行项目审批手续的，应当先履行审批手续，取得批准。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招标人应当有进行招标项目的相应资金或者资金来源已经落实，并应当在招标文件中如实载明。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第十条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招标分为公开招标和邀请招标。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公开招标，是指招标人以招标公告的方式邀请不特定的法人或者其他组织投标。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邀请招标，是指招标人以投标邀请书的方式邀请特定的法人或者其他组织投标。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第十一条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国务院发展计划部门确定的国家重点项目和省、自治区、直辖市人民政府确定的地方重点项目不适宜公开招标的，经国务院发展计划部门或者省、自治区、直辖市人民政府批准，可以进行邀请招标。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第十二条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招标人有权自行选择招标代理机构，委托其办理招标事宜。任何单位和个人不得以任何方式为招标人指定招标代理机构。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招标人具有编制招标文件和组织评标能力的，可以自行办理招标事宜。任何单位和个人不得强制其委托招标代理机构办理招标事宜。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依法必须进行招标的项目，招标人自行办理招标事宜的，应当向有关行政监督部门备案。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第十三条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招标代理机构是依法设立、从事招标代理业务并提供相关服务的社会中介组织。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招标代理机构应当具备下列条件：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（一）有从事招标代理业务的营业场所和相应资金；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（二）有能够编制招标文件和组织评标的相应专业力量；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（三）有符合本法第三十七条第三款规定条件、可以作为评标委员会成员人选的技术、经济等方面的专家库。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第十四条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从事工程建设项目招标代理业务的招标代理机构，其资格由国务院或者省、自治区、直辖市人民政府的建设行政主管部门认定。具体办法由国务院建设行政主管部门会同国务院有关部门制定。从事其他招标代理业务的招标代理机构，其资格认定的主管部门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招标代理机构与行政机关和其他国家机关不得存在隶属关系或者其他利益关系。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第十五条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招标代理机构应当在招标人委托的范围内办理招标事宜，并遵守本法关于招标人的规定。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第十六条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招标人采用公开招标方式的，应当发布招标公告。依法必须进行招标的项目的招标公告，应当通过国家指定的报刊、信息网络或者其他媒介发布。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招标公告应当载明招标人的名称和地址、招标项目的性质、数量、实施地点和时间以及获取招标文件的办法等事项。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第十七条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招标人采用邀请招标方式的，应当向三个以上具备承担招标项目的能力、资信良好的特定的法人或者其他组织发出投标邀请书。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投标邀请书应当载明本法第十六条第二款规定的事项。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第十八条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招标人可以根据招标项目本身的要求，在招标公告或者投标邀请书中，要求潜在投标人提供有关资质证明文件和业绩情况，并对潜在投标人进行资格审查；国家对投标人的资格条件有规定的，依照其规定。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招标人不得以不合理的条件限制或者排斥潜在投标人，不得对潜在投标人实行歧视待遇。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第十九条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招标人应当根据招标项目的特点和需要编制招标文件。招标文件应当包括招标项目的技术要求、对投标人资格审查的标准、投标报价要求和评标标准等所有实质性要求和条件以及拟签订合同的主要条款。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国家对招标项目的技术、标准有规定的，招标人应当按照其规定在招标文件中提出相应要求。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招标项目需要划分标段、确定工期的，招标人应当合理划分标段、确定工期，并在招标文件中载明。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第二十条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招标文件不得要求或者标明特定的生产供应者以及含有倾向或者排斥潜在投标人的其他内容。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第二十一条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招标人根据招标项目的具体情况，可以组织潜在投标人踏勘项目现场。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第二十二条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招标人不得向他人透露已获取招标文件的潜在投标人的名称、数量以及可能影响公平竞争的有关招标投标的其他情况。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招标人设有标底的，标底必须保密。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第二十三条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招标人对已发出的招标文件进行必要的澄清或者修改的，应当在招标文件要求提交投标文件截止时间至少十五日前，以书面形式通知所有招标文件收受人。该澄清或者修改的内容为招标文件的组成部分。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第二十四条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招标人应当确定投标人编制投标文件所需要的合理时间；但是，依法必须进行招标的项目，自招标文件开始发出之日起至投标提交投标文件截止之日止，最短不得少于二十日。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第三章　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第二十五条　</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投标人是响应招标、参加投标竞争的法人或者其他组织。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依法招标的科研项目允许个人参加投标的，投标的个人适用本法有关投标人的规定。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第二十六条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投标人应当具备承担招标项目的能力；国家有关规定对投标人资格条件或者招标文件对投标人资格条件有规定的，投标人应当具备规定的资格条件。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第二十七条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投标人应当按照招标文件的要求编制投标文件。投标文件应当对招标文件提出的实质性要求和条件作出响应。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招标项目属于建设施工的，投标文件的内容应当包括拟派出的项目负责人与主要技术人员的简历、业绩和拟用于完成招标项目的机械设备等。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第二十八条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投标人应当在招标文件要求提交投标文件的截止时间前，将投标文件送达投标地点。招标人收到投标文件后，应当签收保存，不得开启。投标人少于三个的，招标人应当依照本法重新招标。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在招标文件要求提交投标文件的截止时间后送达的投标文件，招标人应当拒收。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第二十九条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投标人在招标文件要求提交投标文件的截止时间前，可以补充、修改或者撤回已提交的投标文件，并书面通知招标人。补充、修改的内容为投标文件的组成部分。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第三十条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投标人根据招标文件载明的项目实际情况，拟在中标后将中标项目的部分非主体、非关键性工作进行分包的，应当在投标文件中载明。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第三十一条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两个以上法人或者其他组织可以组成一个联合体，以一个投标人的身份共同投标。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招标人不得强制投标人组成联合体共同投标，不得限制投标人之间的竞争。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第三十二条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投标人不得相互串通投标报价，不得排挤其他投标人的公平竞争，损害招标人或者其他投标人的合法权益。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投标人不得与招标人串通投标，损害国家利益、社会公共利益或者他人的合法权益。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禁止投标人以向招标人或者评标委员会成员行贿的手段谋取中标。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第三十三条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投标人不得以低于成本的报价竞标，也不得以他人名义投标或者以其他方式弄虚作假，骗取中标。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第四章　开标、评标和中标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第三十四条　</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开标应当在招标文件确定的提交投标文件截止时间的同一时间公开进行；开标地点应当为招标文件中预先确定的地点。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第三十五条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开标由招标人主持，邀请所有投标人参加。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第三十六条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开标时，由投标人或者其推选的代表检查投标文件的密封情况，也可以由招标人委托的公证机构检查并公证；经确认无误后，由工作人员当众拆封，宣读投标人名称、投标价格和投标文件的其他主要内容。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招标人在招标文件要求提交投标文件的截止时间前收到的所有投标文件，开标时都应当当众予以拆封、宣读。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开标过程应当记录，并存档备查。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第三十七条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评标由招标人依法组建的评标委员会负责。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依法必须进行招标的项目，其评标委员会由招标人的代表和有关技术、经济等方面的专家组成，成员人数为五人以上单数，其中技术、经济等方面的专家不得少于成员总数的三分之二。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与投标人有利害关系的人不得进入相关项目的评标委员会；已经进入的应当更换。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评标委员会成员的名单在中标结果确定前应当保密。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第三十八条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招标人应当采取必要的措施，保证评标在严格保密的情况下进行。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任何单位和个人不得非法干预、影响评标的过程和结果。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第三十九条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评标委员会可以要求投标人对投标文件中含义不明确的内容作必要的澄清或者说明，但是澄清或者说明不得超出投标文件的范围或者改变投标文件的实质性内容。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第四十条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评标委员会应当按照招标文件确定的评标标准和方法，对投标文件进行评审和比较；设有标底的，应当参考标底。评标委员会完成评标后，应当向招标人提出书面评标报告，并推荐合格的中标候选人。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招标人根据评标委员会提出的书面评标报告和推荐的中标候选人确定中标人。招标人也可以授权评标委员会直接确定中标人。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国务院对特定招标项目的评标有特别规定的，从其规定。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第四十一条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中标人的投标应当符合下列条件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（一）能够最大限度地满足招标文件中规定的各项综合评价标准；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（二）能够满足招标文件的实质性要求，并且经评审的投标价格最低；但是投标价格低于成本的除外。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第四十二条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评标委员会经评审，认为所有投标都不符合招标文件要求的，可以否决所有投标。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依法必须进行招标的项目的所有投标被否决的，招标人应当依照本法重新招标。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第四十三条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在确定中标人前，招标人不得与投标人就投标价格、投标方案等实质性内容进行谈判。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第四十四条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评标委员会成员应当客观、公正地履行职务，遵守职业道德，对所提出的评审意见承担个人责任。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评标委员会成员不得私下接触投标人，不得收受投标人的财物或者其他好处。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评标委员会成员和参与评标的有关工作人员不得透露对投标文件的评审和比较、中标侯选人的推荐情况以及与评标有关的其他情况。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第四十五条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中标人确定后，招标人应当向中标人发出中标通知书，并同时将中标结果通知所有未中标的投标人。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中标通知书对招标人和中标人具有法律效力。中标通知书发出后，招标人改变中标结果的，或者中标人放弃中标项目的，应当依法承担法律责任。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第四十六条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招标人和中标人应当自中标通知书发出之日起三十日内，按照招标文件和中标人的投标文件订立书面合同。招标人和中标人不得再行订立背离合同实质性内容的其他协议。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招标文件要求中标人提交履约保证金的，中标人应当提交。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第四十七条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依法必须进行招标的项目，招标人应当自确定中标人之日起十五日内，向有关行政监督部门提交招标投标情况的书面报告。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第四十八条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中标人应当按照合同约定履行义务，完成中标项目。中标人不得向他人转让中标项目，也不得将中标项目肢解后分别向他人转让。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中标人按照合同约定或者经招标人同意，可以将中标项目的部分非主体、非关键性工作分包给他人完成。接受分包的人应当具备相应的资格条件，并不得再次分包。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中标人应当就分包项目向招标人负责，接受分包的人就分包项目承担连带责任。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第四十九条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第五十条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前款所列行为影响中标结果的，中标无效。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第五十一条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招标人以不合理的条件限制或者排斥潜在投标人的，对潜在投标人实行歧视待遇的，强制要求投标人组成联合体共同投标的，或者限制投标人之间竞争的，责令改正，可以处一万元以上五万元以下的罚款。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第五十二条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前款所列行为影响中标结果的，中标无效。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第五十三条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第五十四条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投标人以他人名义投标或者以其他方式弄虚作假，骗取中标的，中标无效，给招标人造成损失的，依法承担赔偿责任；构成犯罪的，依法追究刑事责任。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第五十五条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依法必须进行招标的项目，招标人违反本法规定，与投标人就投标价格、投标方案等实质性内容进行谈判的，给予警告，对单位直接负责的主管人员和其他直接责任人员依法给予处分。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前款所列行为影响中标结果的，中标无效。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第五十六条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第五十七条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第五十八条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第五十九条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招标人与中标人不按照招标文件和中标人的投标文件订立合同的，或者招标人、中标人订立背离合同实质性内容的协议的，责令改正；可以处中标项目金额千分之五以上千分之十以下的罚款。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第六十条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中标人不履行与招标人订立的合同的，履约保证金不予退还，给招标人造成的损失超过履约保证金数额的，还应当对超过部分予以赔偿；没有提交履约保证金的，应当对招标人的损失承担赔偿责任。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中标人不按照与招标人订立的合同履行义务，情节严重的，取消其二年至五年内参加依法必须进行招标的项目的投标资格并予以公告，直至由工商行政管理机关吊销营业执照。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因不可抗力不能履行合同的，不适用前两款规定。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第六十一条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本章规定的行政处罚，由国务院规定的有关行政监督部门决定。本法已对实施行政处罚的机关作出规定的除外。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第六十二条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个人利用职权进行前款违法行为的，依照前款规定追究责任。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第六十三条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对招标投标活动依法负有行政监督职责的国家机关工作人员徇私舞弊、滥用职权或者玩忽职守，构成犯罪的，依法追究刑事责任；不构成犯罪的，依法给予行政处分。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第六十四条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依法必须进行招标的项目违反本法规定，中标无效的，应当依照本法规定的中标条件从其余投标人中重新确定中标人或者依照本法重新进行招标。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第六十五条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投标人和其他利害关系人认为招标投标活动不符合本法有关规定的，有权向招标人提出异议或者依法向有关行政监督部门投诉。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第六十六条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涉及国家安全、国家秘密、抢险救灾或者属于利用扶贫资金实行以工代赈、需要使用农民工等特殊情况，不适宜进行招标的项目，按照国家有关规定可以不进行招标。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第六十七条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使用国际组织或者外国政府贷款、援助资金的项目进行招标，贷款方、资金提供方对招标投标的具体条件和程序有不同规定的，可以适用其规定。但违背中华人民共和国的社会公共利益的除外。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textAlignment w:val="baseline"/>
        <w:rPr>
          <w:rFonts w:hint="eastAsia" w:ascii="微软雅黑" w:hAnsi="微软雅黑" w:eastAsia="微软雅黑" w:cs="微软雅黑"/>
          <w:i w:val="0"/>
          <w:iCs w:val="0"/>
          <w:caps w:val="0"/>
          <w:color w:val="383838"/>
          <w:spacing w:val="0"/>
          <w:sz w:val="19"/>
          <w:szCs w:val="19"/>
        </w:rPr>
      </w:pP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w:t>
      </w:r>
      <w:r>
        <w:rPr>
          <w:rFonts w:hint="eastAsia" w:ascii="微软雅黑" w:hAnsi="微软雅黑" w:eastAsia="微软雅黑" w:cs="微软雅黑"/>
          <w:b/>
          <w:bCs/>
          <w:i w:val="0"/>
          <w:iCs w:val="0"/>
          <w:caps w:val="0"/>
          <w:color w:val="383838"/>
          <w:spacing w:val="0"/>
          <w:sz w:val="24"/>
          <w:szCs w:val="24"/>
          <w:bdr w:val="none" w:color="auto" w:sz="0" w:space="0"/>
          <w:shd w:val="clear" w:fill="FFFFFF"/>
          <w:vertAlign w:val="baseline"/>
        </w:rPr>
        <w:t>第六十八条</w:t>
      </w:r>
      <w:r>
        <w:rPr>
          <w:rFonts w:hint="eastAsia" w:ascii="微软雅黑" w:hAnsi="微软雅黑" w:eastAsia="微软雅黑" w:cs="微软雅黑"/>
          <w:i w:val="0"/>
          <w:iCs w:val="0"/>
          <w:caps w:val="0"/>
          <w:color w:val="383838"/>
          <w:spacing w:val="0"/>
          <w:sz w:val="24"/>
          <w:szCs w:val="24"/>
          <w:bdr w:val="none" w:color="auto" w:sz="0" w:space="0"/>
          <w:shd w:val="clear" w:fill="FFFFFF"/>
          <w:vertAlign w:val="baseline"/>
        </w:rPr>
        <w:t>　本法自2000年1月1日起施行。</w:t>
      </w:r>
      <w:r>
        <w:rPr>
          <w:rFonts w:hint="eastAsia" w:ascii="微软雅黑" w:hAnsi="微软雅黑" w:eastAsia="微软雅黑" w:cs="微软雅黑"/>
          <w:i w:val="0"/>
          <w:iCs w:val="0"/>
          <w:caps w:val="0"/>
          <w:color w:val="383838"/>
          <w:spacing w:val="0"/>
          <w:sz w:val="19"/>
          <w:szCs w:val="19"/>
          <w:bdr w:val="none" w:color="auto" w:sz="0" w:space="0"/>
          <w:shd w:val="clear" w:fill="FFFFFF"/>
          <w:vertAlign w:val="baselin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F55F2"/>
    <w:rsid w:val="566F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2022-03-24T07:43:00Z</dcterms:created>
  <dc:creator>鹰击长空</dc:creator>
  <cp:lastModifiedBy>鹰击长空</cp:lastModifiedBy>
  <dcterms:modified xsi:type="dcterms:W3CDTF">2022-03-24T07:45:03Z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E5D78AC3700A440E8FC41B9C5D1D442C</vt:lpwstr>
  </property>
</Properties>
</file>