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84" w:lineRule="atLeast"/>
        <w:ind w:left="0" w:right="0"/>
        <w:jc w:val="center"/>
        <w:rPr>
          <w:rFonts w:hint="eastAsia" w:ascii="黑体" w:hAnsi="黑体" w:eastAsia="黑体" w:cs="黑体"/>
          <w:b/>
          <w:bCs/>
          <w:sz w:val="40"/>
          <w:szCs w:val="40"/>
        </w:rPr>
      </w:pPr>
      <w:r>
        <w:rPr>
          <w:rFonts w:hint="eastAsia" w:ascii="黑体" w:hAnsi="黑体" w:eastAsia="黑体" w:cs="黑体"/>
          <w:b/>
          <w:bCs/>
          <w:sz w:val="40"/>
          <w:szCs w:val="40"/>
        </w:rPr>
        <w:t>商务部令2014年第1号 《</w:t>
      </w:r>
      <w:bookmarkStart w:id="0" w:name="_GoBack"/>
      <w:r>
        <w:rPr>
          <w:rFonts w:hint="eastAsia" w:ascii="黑体" w:hAnsi="黑体" w:eastAsia="黑体" w:cs="黑体"/>
          <w:b/>
          <w:bCs/>
          <w:sz w:val="40"/>
          <w:szCs w:val="40"/>
        </w:rPr>
        <w:t>机电产品国际招标投标实施办法（试行）</w:t>
      </w:r>
      <w:bookmarkEnd w:id="0"/>
      <w:r>
        <w:rPr>
          <w:rFonts w:hint="eastAsia" w:ascii="黑体" w:hAnsi="黑体" w:eastAsia="黑体" w:cs="黑体"/>
          <w:b/>
          <w:bCs/>
          <w:sz w:val="40"/>
          <w:szCs w:val="4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ascii="仿宋_GB2312" w:eastAsia="仿宋_GB2312" w:cs="仿宋_GB2312"/>
          <w:color w:val="333333"/>
          <w:sz w:val="32"/>
          <w:szCs w:val="32"/>
          <w:bdr w:val="none" w:color="auto" w:sz="0" w:space="0"/>
        </w:rPr>
        <w:t>【发布单位】中华人民共和国商务部</w:t>
      </w:r>
      <w:r>
        <w:rPr>
          <w:rFonts w:hint="eastAsia" w:ascii="仿宋_GB2312" w:eastAsia="仿宋_GB2312" w:cs="仿宋_GB2312"/>
          <w:color w:val="333333"/>
          <w:sz w:val="32"/>
          <w:szCs w:val="32"/>
          <w:bdr w:val="none" w:color="auto" w:sz="0" w:space="0"/>
        </w:rPr>
        <w:br w:type="textWrapping"/>
      </w:r>
      <w:r>
        <w:rPr>
          <w:rFonts w:hint="eastAsia" w:ascii="仿宋_GB2312" w:eastAsia="仿宋_GB2312" w:cs="仿宋_GB2312"/>
          <w:color w:val="333333"/>
          <w:sz w:val="32"/>
          <w:szCs w:val="32"/>
          <w:bdr w:val="none" w:color="auto" w:sz="0" w:space="0"/>
        </w:rPr>
        <w:t>【发布文号】部令2014年第1号</w:t>
      </w:r>
      <w:r>
        <w:rPr>
          <w:rFonts w:hint="eastAsia" w:ascii="仿宋_GB2312" w:eastAsia="仿宋_GB2312" w:cs="仿宋_GB2312"/>
          <w:color w:val="333333"/>
          <w:sz w:val="32"/>
          <w:szCs w:val="32"/>
          <w:bdr w:val="none" w:color="auto" w:sz="0" w:space="0"/>
        </w:rPr>
        <w:br w:type="textWrapping"/>
      </w:r>
      <w:r>
        <w:rPr>
          <w:rFonts w:hint="eastAsia" w:ascii="仿宋_GB2312" w:eastAsia="仿宋_GB2312" w:cs="仿宋_GB2312"/>
          <w:color w:val="333333"/>
          <w:sz w:val="32"/>
          <w:szCs w:val="32"/>
          <w:bdr w:val="none" w:color="auto" w:sz="0" w:space="0"/>
        </w:rPr>
        <w:t>【发布日期】2014-02-21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《机电产品国际招标投标实施办法（试行）》已于2013年12月9日经中华人民共和国商务部2013年第10次部务会议审议通过，现予公布，自2014 年4月1日起施行。原《机电产品国际招标投标实施办法》（商务部2004年第13号令）同时废止。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仿宋_GB2312" w:eastAsia="仿宋_GB2312" w:cs="仿宋_GB2312"/>
          <w:color w:val="333333"/>
          <w:sz w:val="32"/>
          <w:szCs w:val="32"/>
          <w:bdr w:val="none" w:color="auto" w:sz="0" w:space="0"/>
        </w:rPr>
        <w:t>部长：高虎城</w:t>
      </w:r>
      <w:r>
        <w:rPr>
          <w:rFonts w:hint="eastAsia" w:ascii="仿宋_GB2312" w:eastAsia="仿宋_GB2312" w:cs="仿宋_GB2312"/>
          <w:color w:val="333333"/>
          <w:sz w:val="32"/>
          <w:szCs w:val="32"/>
          <w:bdr w:val="none" w:color="auto" w:sz="0" w:space="0"/>
        </w:rPr>
        <w:br w:type="textWrapping"/>
      </w:r>
      <w:r>
        <w:rPr>
          <w:rFonts w:hint="eastAsia" w:ascii="仿宋_GB2312" w:eastAsia="仿宋_GB2312" w:cs="仿宋_GB2312"/>
          <w:color w:val="333333"/>
          <w:sz w:val="32"/>
          <w:szCs w:val="32"/>
          <w:bdr w:val="none" w:color="auto" w:sz="0" w:space="0"/>
        </w:rPr>
        <w:t>2014年2月21日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eastAsia" w:ascii="仿宋_GB2312" w:eastAsia="仿宋_GB2312" w:cs="仿宋_GB2312"/>
          <w:color w:val="333333"/>
          <w:sz w:val="32"/>
          <w:szCs w:val="32"/>
          <w:bdr w:val="none" w:color="auto" w:sz="0" w:space="0"/>
        </w:rPr>
        <w:br w:type="textWrapping"/>
      </w:r>
      <w:r>
        <w:rPr>
          <w:rFonts w:hint="eastAsia" w:ascii="仿宋_GB2312" w:eastAsia="仿宋_GB2312" w:cs="仿宋_GB2312"/>
          <w:b/>
          <w:bCs/>
          <w:color w:val="333333"/>
          <w:sz w:val="32"/>
          <w:szCs w:val="32"/>
          <w:bdr w:val="none" w:color="auto" w:sz="0" w:space="0"/>
        </w:rPr>
        <w:t>机电产品国际招标投标实施办法（试行）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第一章 总则</w:t>
      </w:r>
      <w:r>
        <w:rPr>
          <w:rFonts w:hint="eastAsia" w:ascii="仿宋_GB2312" w:eastAsia="仿宋_GB2312" w:cs="仿宋_GB2312"/>
          <w:color w:val="333333"/>
          <w:sz w:val="32"/>
          <w:szCs w:val="32"/>
          <w:bdr w:val="none" w:color="auto" w:sz="0" w:space="0"/>
        </w:rPr>
        <w:br w:type="textWrapping"/>
      </w:r>
      <w:r>
        <w:rPr>
          <w:rFonts w:hint="eastAsia" w:ascii="仿宋_GB2312" w:eastAsia="仿宋_GB2312" w:cs="仿宋_GB2312"/>
          <w:color w:val="333333"/>
          <w:sz w:val="32"/>
          <w:szCs w:val="32"/>
          <w:bdr w:val="none" w:color="auto" w:sz="0" w:space="0"/>
        </w:rPr>
        <w:t xml:space="preserve">  第二章 招标范围</w:t>
      </w:r>
      <w:r>
        <w:rPr>
          <w:rFonts w:hint="eastAsia" w:ascii="仿宋_GB2312" w:eastAsia="仿宋_GB2312" w:cs="仿宋_GB2312"/>
          <w:color w:val="333333"/>
          <w:sz w:val="32"/>
          <w:szCs w:val="32"/>
          <w:bdr w:val="none" w:color="auto" w:sz="0" w:space="0"/>
        </w:rPr>
        <w:br w:type="textWrapping"/>
      </w:r>
      <w:r>
        <w:rPr>
          <w:rFonts w:hint="eastAsia" w:ascii="仿宋_GB2312" w:eastAsia="仿宋_GB2312" w:cs="仿宋_GB2312"/>
          <w:color w:val="333333"/>
          <w:sz w:val="32"/>
          <w:szCs w:val="32"/>
          <w:bdr w:val="none" w:color="auto" w:sz="0" w:space="0"/>
        </w:rPr>
        <w:t xml:space="preserve">  第三章 招标</w:t>
      </w:r>
      <w:r>
        <w:rPr>
          <w:rFonts w:hint="eastAsia" w:ascii="仿宋_GB2312" w:eastAsia="仿宋_GB2312" w:cs="仿宋_GB2312"/>
          <w:color w:val="333333"/>
          <w:sz w:val="32"/>
          <w:szCs w:val="32"/>
          <w:bdr w:val="none" w:color="auto" w:sz="0" w:space="0"/>
        </w:rPr>
        <w:br w:type="textWrapping"/>
      </w:r>
      <w:r>
        <w:rPr>
          <w:rFonts w:hint="eastAsia" w:ascii="仿宋_GB2312" w:eastAsia="仿宋_GB2312" w:cs="仿宋_GB2312"/>
          <w:color w:val="333333"/>
          <w:sz w:val="32"/>
          <w:szCs w:val="32"/>
          <w:bdr w:val="none" w:color="auto" w:sz="0" w:space="0"/>
        </w:rPr>
        <w:t xml:space="preserve">  第四章 投标</w:t>
      </w:r>
      <w:r>
        <w:rPr>
          <w:rFonts w:hint="eastAsia" w:ascii="仿宋_GB2312" w:eastAsia="仿宋_GB2312" w:cs="仿宋_GB2312"/>
          <w:color w:val="333333"/>
          <w:sz w:val="32"/>
          <w:szCs w:val="32"/>
          <w:bdr w:val="none" w:color="auto" w:sz="0" w:space="0"/>
        </w:rPr>
        <w:br w:type="textWrapping"/>
      </w:r>
      <w:r>
        <w:rPr>
          <w:rFonts w:hint="eastAsia" w:ascii="仿宋_GB2312" w:eastAsia="仿宋_GB2312" w:cs="仿宋_GB2312"/>
          <w:color w:val="333333"/>
          <w:sz w:val="32"/>
          <w:szCs w:val="32"/>
          <w:bdr w:val="none" w:color="auto" w:sz="0" w:space="0"/>
        </w:rPr>
        <w:t xml:space="preserve">  第五章 开标和评标</w:t>
      </w:r>
      <w:r>
        <w:rPr>
          <w:rFonts w:hint="eastAsia" w:ascii="仿宋_GB2312" w:eastAsia="仿宋_GB2312" w:cs="仿宋_GB2312"/>
          <w:color w:val="333333"/>
          <w:sz w:val="32"/>
          <w:szCs w:val="32"/>
          <w:bdr w:val="none" w:color="auto" w:sz="0" w:space="0"/>
        </w:rPr>
        <w:br w:type="textWrapping"/>
      </w:r>
      <w:r>
        <w:rPr>
          <w:rFonts w:hint="eastAsia" w:ascii="仿宋_GB2312" w:eastAsia="仿宋_GB2312" w:cs="仿宋_GB2312"/>
          <w:color w:val="333333"/>
          <w:sz w:val="32"/>
          <w:szCs w:val="32"/>
          <w:bdr w:val="none" w:color="auto" w:sz="0" w:space="0"/>
        </w:rPr>
        <w:t xml:space="preserve">  第六章 评标结果公示和中标</w:t>
      </w:r>
      <w:r>
        <w:rPr>
          <w:rFonts w:hint="eastAsia" w:ascii="仿宋_GB2312" w:eastAsia="仿宋_GB2312" w:cs="仿宋_GB2312"/>
          <w:color w:val="333333"/>
          <w:sz w:val="32"/>
          <w:szCs w:val="32"/>
          <w:bdr w:val="none" w:color="auto" w:sz="0" w:space="0"/>
        </w:rPr>
        <w:br w:type="textWrapping"/>
      </w:r>
      <w:r>
        <w:rPr>
          <w:rFonts w:hint="eastAsia" w:ascii="仿宋_GB2312" w:eastAsia="仿宋_GB2312" w:cs="仿宋_GB2312"/>
          <w:color w:val="333333"/>
          <w:sz w:val="32"/>
          <w:szCs w:val="32"/>
          <w:bdr w:val="none" w:color="auto" w:sz="0" w:space="0"/>
        </w:rPr>
        <w:t xml:space="preserve">  第七章 投诉与处理</w:t>
      </w:r>
      <w:r>
        <w:rPr>
          <w:rFonts w:hint="eastAsia" w:ascii="仿宋_GB2312" w:eastAsia="仿宋_GB2312" w:cs="仿宋_GB2312"/>
          <w:color w:val="333333"/>
          <w:sz w:val="32"/>
          <w:szCs w:val="32"/>
          <w:bdr w:val="none" w:color="auto" w:sz="0" w:space="0"/>
        </w:rPr>
        <w:br w:type="textWrapping"/>
      </w:r>
      <w:r>
        <w:rPr>
          <w:rFonts w:hint="eastAsia" w:ascii="仿宋_GB2312" w:eastAsia="仿宋_GB2312" w:cs="仿宋_GB2312"/>
          <w:color w:val="333333"/>
          <w:sz w:val="32"/>
          <w:szCs w:val="32"/>
          <w:bdr w:val="none" w:color="auto" w:sz="0" w:space="0"/>
        </w:rPr>
        <w:t xml:space="preserve">  第八章 法律责任</w:t>
      </w:r>
      <w:r>
        <w:rPr>
          <w:rFonts w:hint="eastAsia" w:ascii="仿宋_GB2312" w:eastAsia="仿宋_GB2312" w:cs="仿宋_GB2312"/>
          <w:color w:val="333333"/>
          <w:sz w:val="32"/>
          <w:szCs w:val="32"/>
          <w:bdr w:val="none" w:color="auto" w:sz="0" w:space="0"/>
        </w:rPr>
        <w:br w:type="textWrapping"/>
      </w:r>
      <w:r>
        <w:rPr>
          <w:rFonts w:hint="eastAsia" w:ascii="仿宋_GB2312" w:eastAsia="仿宋_GB2312" w:cs="仿宋_GB2312"/>
          <w:color w:val="333333"/>
          <w:sz w:val="32"/>
          <w:szCs w:val="32"/>
          <w:bdr w:val="none" w:color="auto" w:sz="0" w:space="0"/>
        </w:rPr>
        <w:t xml:space="preserve">  第九章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br w:type="textWrapping"/>
      </w:r>
      <w:r>
        <w:rPr>
          <w:rFonts w:hint="eastAsia" w:ascii="仿宋_GB2312" w:eastAsia="仿宋_GB2312" w:cs="仿宋_GB2312"/>
          <w:color w:val="333333"/>
          <w:sz w:val="32"/>
          <w:szCs w:val="32"/>
          <w:bdr w:val="none" w:color="auto" w:sz="0" w:space="0"/>
        </w:rPr>
        <w:t xml:space="preserve">  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第一条 为了规范机电产品国际招标投标活动，保护国家利益、社会公共利益和招标投标活动当事人的合法权益，提高经济效益，保证项目质量，根据《中华人民共和国招标投标法》（以下简称招标投标法）、《中华人民共和国招标投标法实施条例》（以下简称招标投标法实施条例）等法律、行政法规以及国务院对有关部门实施招标投标活动行政监督的职责分工，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第二条 在中华人民共和国境内进行机电产品国际招标投标活动，适用本办法。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本办法所称机电产品国际招标投标活动，是指中华人民共和国境内的招标人根据采购机电产品的条件和要求，在全球范围内以招标方式邀请潜在投标人参加投标，并按照规定程序从投标人中确定中标人的一种采购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本办法所称机电产品，是指机械设备、电气设备、交通运输工具、电子产品、电器产品、仪器仪表、金属制品等及其零部件、元器件。机电产品的具体范围见附件1。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第三条 机电产品国际招标投标活动应当遵循公开、公平、公正、诚实信用和择优原则。机电产品国际招标投标活动不受地区或者部门的限制。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第四条 商务部负责管理和协调全国机电产品的国际招标投标工作，制定相关规定；根据国家有关规定，负责调整、公布机电产品国际招标范围；负责监督管理全国机电产品国际招标代理机构（以下简称招标机构）；负责利用国际组织和外国政府贷款、援助资金（以下简称国外贷款、援助资金）项目机电产品国际招标投标活动的行政监督；负责组建和管理机电产品国际招标评标专家库；负责建设和管理机电产品国际招标投标电子公共服务和行政监督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各省、自治区、直辖市、计划单列市、新疆生产建设兵团、沿海开放城市及经济特区商务主管部门、国务院有关部门机电产品进出口管理机构负责本地区、本部门的机电产品国际招标投标活动的行政监督和协调；负责本地区、本部门所属招标机构的监督和管理；负责本地区、本部门机电产品国际招标评标专家的日常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各级机电产品进出口管理机构（以下简称主管部门）及其工作人员应当依法履行职责，不得以任何方式非法干涉招标投标活动。主管部门的工作人员对监督检查过程中知悉的国家秘密、商业秘密，应当依法予以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第五条 商务部委托专门网站为机电产品国际招标投标活动提供公共服务和行政监督的平台（以下简称招标网）。机电产品国际招标投标应当在招标网上完成招标项目建档、招标过程文件存档和备案、资格预审公告发布、招标公告发布、评审专家抽取、评标结果公示、异议投诉、中标结果公告等招标投标活动的相关程序，但涉及国家秘密的招标项目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招标网承办单位应当在商务部委托的范围内提供网络服务，应当遵守法律、行政法规以及本办法的规定，不得损害国家利益、社会公共利益和招投标活动当事人的合法权益，不得泄露应当保密的信息，不得拒绝或者拖延办理委托范围内事项，不得利用委托范围内事项向有关当事人收取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第二章  招标范围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第六条 通过招标方式采购原产地为中国关境外的机电产品，属于下列情形的必须进行国际招标：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（一）关系社会公共利益、公众安全的基础设施、公用事业等项目中进行国际采购的机电产品；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（二）全部或者部分使用国有资金投资项目中进行国际采购的机电产品；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（三）全部或者部分使用国家融资项目中进行国际采购的机电产品；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（四）使用国外贷款、援助资金项目中进行国际采购的机电产品；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（五）政府采购项目中进行国际采购的机电产品；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（六）其他依照法律、行政法规的规定需要国际招标采购的机电产品。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已经明确采购产品的原产地在中国关境内的，可以不进行国际招标。必须通过国际招标方式采购的，任何单位和个人不得将前款项目化整为零或者以国内招标等其他任何方式规避国际招标。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商务部制定、调整并公布本条第一项所列项目包含主要产品的国际招标范围。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第七条 有下列情形之一的，可以不进行国际招标：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（一）国（境）外赠送或无偿援助的机电产品；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（二）采购供生产企业及科研机构研究开发用的样品样机；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（三）单项合同估算价在国务院规定的必须进行招标的标准以下的；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（四）采购旧机电产品；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（五）采购供生产配套、维修用零件、部件；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（六）采购供生产企业生产需要的专用模具；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（七）根据法律、行政法规的规定，其他不适宜进行国际招标采购的机电产品。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招标人不得为适用前款规定弄虚作假规避招标。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第八条 鼓励采购人采用国际招标方式采购不属于依法必须进行国际招标项目范围内的机电产品。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第三章  招  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第九条 招标人应当在所招标项目确立、资金到位或资金来源落实并具备招标所需的技术资料和其他条件后开展国际招标活动。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按照国家有关规定需要履行项目审批、核准手续的依法必须进行招标的项目，其招标范围、招标方式、招标组织形式应当先获得项目审批、核准部门的审批、核准。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第十条 国有资金占控股或者主导地位的依法必须进行机电产品国际招标的项目，应当公开招标；但有下列情形之一的，可以邀请招标：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（一）技术复杂、有特殊要求或者受自然环境限制，只有少量潜在投标人可供选择；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（二）采用公开招标方式的费用占项目合同金额的比例过大。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有前款第二项所列情形，属于本办法第九条第二款规定的项目，招标人应当在招标前向相应的主管部门提交项目审批、核准部门审批、核准邀请招标方式的文件；其他项目采用邀请招标方式应当由招标人申请相应的主管部门作出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第十一条 招标人采用委托招标的，有权自行选择招标机构为其办理招标事宜。任何单位和个人不得以任何方式为招标人指定招标机构。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招标人自行办理招标事宜的，应当具有与招标项目规模和复杂程度相适应的技术、经济等方面专业人员，具备编制国际招标文件（中、英文）和组织评标的能力。依法必须进行招标的项目，招标人自行办理招标事宜的，应当向相应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第十二条 招标机构应当具备从事招标代理业务的营业场所和相应资金；具备能够编制招标文件（中、英文）和组织评标的相应专业力量；拥有一定数量的取得招标职业资格的专业人员。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招标机构从事机电产品国际招标代理业务，应当在招标网免费注册，注册时应当在招标网在线填写机电产品国际招标机构登记表。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招标机构应当在招标人委托的范围内开展招标代理业务，任何单位和个人不得非法干涉。招标机构从事机电产品国际招标业务的人员应当为与本机构依法存在劳动合同关系的员工。招标机构可以依法跨区域开展业务，任何地区和部门不得以登记备案等方式加以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招标机构代理招标业务，应当遵守招标投标法、招标投标法实施条例和本办法关于招标人的规定；在招标活动中，不得弄虚作假，损害国家利益、社会公共利益和招标人、投标人的合法权益。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招标人应当与被委托的招标机构签订书面委托合同，载明委托事项和代理权限，合同约定的收费标准应当符合国家有关规定。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招标机构不得接受招标人违法的委托内容和要求；不得在所代理的招标项目中投标或者代理投标，也不得为所代理的招标项目的投标人提供咨询。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招标机构管理办法由商务部另行制定。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第十三条 发布资格预审公告、招标公告或发出投标邀请书前，招标人或招标机构应当在招标网上进行项目建档，建档内容包括项目名称、招标人名称及性质、招标方式、招标组织形式、招标机构名称、资金来源及性质、委托招标金额、项目审批或核准部门、主管部门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第十四条 招标人采用公开招标方式的，应当发布招标公告。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招标人采用邀请招标方式的，应当向3个以上具备承担招标项目能力、资信良好的特定法人或者其他组织发出投标邀请书。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第十五条 资格预审公告、招标公告或者投标邀请书应当载明下列内容：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（一）招标项目名称、资金到位或资金来源落实情况；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（二）招标人或招标机构名称、地址和联系方式；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（三）招标产品名称、数量、简要技术规格；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（四）获取资格预审文件或者招标文件的地点、时间、方式和费用；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（五）提交资格预审申请文件或者投标文件的地点和截止时间；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（六）开标地点和时间；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（七）对资格预审申请人或者投标人的资格要求。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第十六条 招标人不得以招标投标法实施条例第三十二条规定的情形限制、排斥潜在投标人或者投标人。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第十七条 公开招标的项目，招标人可以对潜在投标人进行资格预审。资格预审按照招标投标法实施条例的有关规定执行。国有资金占控股或者主导地位的依法必须进行招标的项目，资格审查委员会及其成员应当遵守本办法有关评标委员会及其成员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第十八条 编制依法必须进行机电产品国际招标的项目的资格预审文件和招标文件，应当使用机电产品国际招标标准文本。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第十九条 招标人根据所采购机电产品的特点和需要编制招标文件。招标文件主要包括下列内容：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（一）招标公告或投标邀请书；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（二）投标人须知及投标资料表；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（三）招标产品的名称、数量、技术要求及其他要求；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（四）评标方法和标准；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（五）合同条款；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（六）合同格式；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（七）投标文件格式及其他材料要求：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1、投标书；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2、开标一览表；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3、投标分项报价表；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4、产品说明一览表；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5、技术规格响应/偏离表；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6、商务条款响应/偏离表；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7、投标保证金银行保函；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8、单位负责人授权书；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9、资格证明文件；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10、履约保证金银行保函；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11、预付款银行保函；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12、信用证样本；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13、要求投标人提供的其他材料。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第二十条 招标文件中应当明确评标方法和标准。机电产品国际招标的评标一般采用最低评标价法。技术含量高、工艺或技术方案复杂的大型或成套设备招标项目可采用综合评价法进行评标。所有评标方法和标准应当作为招标文件不可分割的一部分并对潜在投标人公开。招标文件中没有规定的评标方法和标准不得作为评标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最低评标价法，是指在投标满足招标文件商务、技术等实质性要求的前提下，按照招标文件中规定的价格评价因素和方法进行评价，确定各投标人的评标价格，并按投标人评标价格由低到高的顺序确定中标候选人的评标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综合评价法，是指在投标满足招标文件实质性要求的前提下，按照招标文件中规定的各项评价因素和方法对投标进行综合评价后，按投标人综合评价的结果由优到劣的顺序确定中标候选人的评标方法。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综合评价法应当由评价内容、评价标准、评价程序及推荐中标候选人原则等组成。综合评价法应当根据招标项目的具体需求，设定商务、技术、价格、服务及其他评价内容的标准，并对每一项评价内容赋予相应的权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机电产品国际招标投标综合评价法实施规范由商务部另行制定。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第二十一条 招标文件的技术、商务等条款应当清晰、明确、无歧义，不得设立歧视性条款或不合理的要求排斥潜在投标人。招标文件编制内容原则上应当满足3个以上潜在投标人能够参与竞争。招标文件的编制应当符合下列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（一）对招标文件中的重要条款（参数）应当加注星号（“*”），并注明如不满足任一带星号（“*”）的条款（参数）将被视为不满足招标文件实质性要求，并导致投标被否决。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构成投标被否决的评标依据除重要条款（参数）不满足外，还可以包括超过一般条款（参数）中允许偏离的最大范围、最多项数。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采用最低评标价法评标的，评标依据中应当包括：一般商务和技术条款（参数）在允许偏离范围和条款数内进行评标价格调整的计算方法，每个一般技术条款（参数）的偏离加价一般为该设备投标价格的0.5%，最高不得超过该设备投标价格的1%，投标文件中没有单独列出该设备分项报价的，评标价格调整时按投标总价计算；交货期、付款条件等商务条款的偏离加价计算方法在招标文件中可以另行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采用综合评价法的，应当集中列明招标文件中所有加注星号（“*”）的重要条款（参数）。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二）招标文件应当明确规定在实质性响应招标文件要求的前提下投标文件分项报价允许缺漏项的最大范围或比重，并注明如缺漏项超过允许的最大范围或比重，该投标将被视为实质性不满足招标文件要求，并将导致投标被否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（三）招标文件应当明确规定投标文件中投标人应当小签的相应内容，其中投标文件的报价部分、重要商务和技术条款（参数）响应等相应内容应当逐页小签。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（四）招标文件应当明确规定允许的投标货币和报价方式，并注明该条款是否为重要商务条款。招标文件应当明确规定不接受选择性报价或者附加条件的报价。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（五）招标人设有最高投标限价的，应当在招标文件中明确最高投标限价或者最高投标限价的计算方法。招标人不得规定最低投标限价。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六）招标文件应当明确规定评标依据以及对投标人的业绩、财务、资信等商务条款和技术参数要求，不得使用模糊的、无明确界定的术语或指标作为重要商务或技术条款（参数）或以此作为价格调整的依据。招标文件对投标人资质提出要求的，应当列明所要求资质的名称及其认定机构和提交证明文件的形式，并要求相应资质在规定的期限内真实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（七）招标人可以在招标文件中将有关行政监督部门公布的信用信息作为对投标人的资格要求的依据。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（八）招标文件内容应当符合国家有关安全、卫生、环保、质量、能耗、标准、社会责任等法律法规的规定。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（九）招标文件允许联合体投标的，应当明确规定对联合体牵头人和联合体各成员的资格条件及其他相应要求。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（十）招标文件允许投标人提供备选方案的，应当明确规定投标人在投标文件中只能提供一个备选方案并注明主选方案，且备选方案的投标价格不得高于主选方案。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（十一）招标文件应当明确计算评标总价时关境内、外产品的计算方法，并应当明确指定到货地点。除国外贷款、援助资金项目外，评标总价应当包含货物到达招标人指定到货地点之前的所有成本及费用。其中：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关境外产品为：CIF价＋进口环节税＋国内运输、保险费等（采用CIP、DDP等其他报价方式的，参照此方法计算评标总价）；其中投标截止时间前已经进口的产品为：销售价（含进口环节税、销售环节增值税）＋国内运输、保险费等。关境内制造的产品为：出厂价（含增值税）＋消费税（如适用）＋国内运输、保险费等。有价格调整的，计算评标总价时，应当包含偏离加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十二）招标文件应当明确投标文件的大写金额和小写金额不一致的，以大写金额为准；投标总价金额与按分项报价汇总金额不一致的，以分项报价金额计算结果为准；分项报价金额小数点有明显错位的，应以投标总价为准，并修改分项报价；应当明确招标文件、投标文件和评标报告使用语言的种类；使用两种以上语言的，应当明确当出现表述内容不一致时以何种语言文本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第二十二条 招标文件应当载明投标有效期，以保证招标人有足够的时间完成组织评标、定标以及签订合同。投标有效期从招标文件规定的提交投标文件的截止之日起算。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第二十三条 招标人在招标文件中要求投标人提交投标保证金的，投标保证金不得超过招标项目估算价的2%。投标保证金有效期应当与投标有效期一致。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依法必须进行招标的项目的境内投标单位，以现金或者支票形式提交的投标保证金应当从其基本账户转出。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投标保证金可以是银行出具的银行保函或不可撤销信用证、转账支票、银行即期汇票，也可以是招标文件要求的其他合法担保形式。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联合体投标的，应当以联合体共同投标协议中约定的投标保证金缴纳方式予以提交，可以是联合体中的一方或者共同提交投标保证金，以一方名义提交投标保证金的，对联合体各方均具有约束力。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招标人不得挪用投标保证金。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第二十四条 招标人或招标机构应当在资格预审文件或招标文件开始发售之日前将资格预审文件或招标文件发售稿上传招标网存档。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第二十五条 依法必须进行招标的项目的资格预审公告和招标公告应当在符合法律规定的媒体和招标网上发布。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第二十六条 招标人应当确定投标人编制投标文件所需的合理时间。依法必须进行招标的项目，自招标文件开始发售之日起至投标截止之日止，不得少于20日。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招标文件的发售期不得少于5个工作日。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招标人发售的纸质招标文件和电子介质的招标文件具有同等法律效力，除另有约定的，出现不一致时以纸质招标文件为准。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第二十七条 招标公告规定未领购招标文件不得参加投标的，招标文件发售期截止后，购买招标文件的潜在投标人少于3个的，招标人可以依照本办法重新招标。重新招标后潜在投标人或投标人仍少于3个的，可以依照本办法第四十六条第二款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第二十八条 开标前，招标人、招标机构和有关工作人员不得向他人透露已获取招标文件的潜在投标人的名称、数量以及可能影响公平竞争的有关招标投标的其他信息。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第二十九条 招标人可以对已发出的资格预审文件或者招标文件进行必要的澄清或者修改。澄清或者修改的内容可能影响资格预审申请文件或者投标文件编制的，招标人或招标机构应当在提交资格预审文件截止时间至少3日前，或者投标截止时间至少15日前，以书面形式通知所有获取资格预审文件或者招标文件的潜在投标人，并上传招标网存档；不足3日或者15日的，招标人或招标机构应当顺延提交资格预审申请文件或者投标文件的截止时间。该澄清或者修改内容为资格预审文件或者招标文件的组成部分。澄清或者修改的内容涉及到与资格预审公告或者招标公告内容不一致的，应当在原资格预审公告或者招标公告发布的媒体和招标网上发布变更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因异议或投诉处理而导致对资格预审文件或者招标文件澄清或者修改的，应当按照前款规定执行。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第三十条 招标人顺延投标截止时间的，至少应当在招标文件要求提交投标文件的截止时间3日前，将变更时间书面通知所有获取招标文件的潜在投标人，并在招标网上发布变更公告。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第三十一条 除不可抗力原因外，招标文件或者资格预审文件发出后，不予退还；招标人在发布招标公告、发出投标邀请书后或者发出招标文件或资格预审文件后不得终止招标。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第四章  投 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第三十二条 投标人是响应招标、参加投标竞争的法人或其他组织。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与招标人存在利害关系可能影响招标公正性的法人或其他组织不得参加投标；接受委托参与项目前期咨询和招标文件编制的法人或其他组织不得参加受托项目的投标，也不得为该项目的投标人编制投标文件或者提供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单位负责人为同一人或者存在控股、管理关系的不同单位，不得参加同一招标项目包投标，共同组成联合体投标的除外。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违反前三款规定的，相关投标均无效。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第三十三条 投标人应当根据招标文件要求编制投标文件，并根据自己的商务能力、技术水平对招标文件提出的要求和条件在投标文件中作出真实的响应。投标文件的所有内容在投标有效期内应当有效。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第三十四条 投标人对加注星号（“*”）的重要技术条款（参数）应当在投标文件中提供技术支持资料。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技术支持资料以制造商公开发布的印刷资料、检测机构出具的检测报告或招标文件中允许的其他形式为准，凡不符合上述要求的，应当视为无效技术支持资料。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第三十五条 投标人应当提供在开标日前3个月内由其开立基本账户的银行开具的银行资信证明的原件或复印件。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第三十六条 潜在投标人或者其他利害关系人对资格预审文件有异议的，应当在提交资格预审申请文件截止时间2日前向招标人或招标机构提出，并将异议内容上传招标网；对招标文件有异议的，应当在投标截止时间10日前向招标人或招标机构提出，并将异议内容上传招标网。招标人或招标机构应当自收到异议之日起3日内作出答复，并将答复内容上传招标网；作出答复前，应当暂停招标投标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第三十七条 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第三十八条 投标人在招标文件要求的投标截止时间前，应当在招标网免费注册，注册时应当在招标网在线填写招投标注册登记表，并将由投标人加盖公章的招投标注册登记表及工商营业执照（复印件）提交至招标网；境外投标人提交所在地登记证明材料（复印件），投标人无印章的，提交由单位负责人签字的招投标注册登记表。投标截止时间前，投标人未在招标网完成注册的不得参加投标，有特殊原因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第三十九条 投标人在招标文件要求的投标截止时间前，应当将投标文件送达招标文件规定的投标地点。投标人可以在规定的投标截止时间前书面通知招标人，对已提交的投标文件进行补充、修改或撤回。补充、修改的内容应当作为投标文件的组成部分。投标人不得在投标截止时间后对投标文件进行补充、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第四十条 投标人应当按照招标文件要求对投标文件进行包装和密封。投标人在投标截止时间前提交价格变更等相关内容的投标声明的，应与开标一览表一并或者单独密封，并加施明显标记，以便在开标时一并唱出。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第四十一条 未通过资格预审的申请人提交的投标文件，以及逾期送达或者不按照招标文件要求密封的投标文件，招标人应当拒收。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招标人或招标机构应当如实记载投标文件的送达时间和密封情况，并存档备查。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第四十二条 招标文件允许联合体投标的，两个以上法人或者其他组织可以组成一个联合体，以一个投标人的身份共同投标。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联合体各方在同一招标项目包中以自己名义单独投标或者参加其他联合体投标的，相关投标均无效。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第四十三条 投标人应当按照招标文件的要求，在提交投标文件截止时间前将投标保证金提交给招标人或招标机构。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投标人在投标截止时间前撤回已提交的投标文件，招标人或招标机构已收取投标保证金的，应当自收到投标人书面撤回通知之日起5日内退还。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投标截止后投标人撤销投标文件的，招标人可以不退还投标保证金。招标人主动要求延长投标有效期但投标人拒绝的，招标人应当退还投标保证金。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第四十四条 投标人发生合并、分立、破产等重大变化的，应当及时书面告知招标人。投标人不再具备资格预审文件、招标文件规定的资格条件或者其投标影响招标公正性的，其投标无效。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第四十五条 禁止招标投标法实施条例第三十九条、第四十条、第四十一条、第四十二条所规定的投标人相互串通投标、招标人与投标人串通投标、投标人以他人名义投标或者以其他方式弄虚作假的行为。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第五章 开标和评标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第四十六条 开标应当在招标文件确定的提交投标文件截止时间的同一时间公开进行；开标地点应当为招标文件中预先确定的地点。开标由招标人或招标机构主持，邀请所有投标人参加。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投标人少于3个的，不得开标，招标人应当依照本办法重新招标；开标后认定投标人少于3个的应当停止评标，招标人应当依照本办法重新招标。重新招标后投标人仍少于3个的，可以进入两家或一家开标评标；按国家有关规定需要履行审批、核准手续的依法必须进行招标的项目，报项目审批、核准部门审批、核准后可以不再进行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认定投标人数量时，两家以上投标人的投标产品为同一家制造商或集成商生产的，按一家投标人认定。对两家以上集成商或代理商使用相同制造商产品作为其项目包的一部分，且相同产品的价格总和均超过该项目包各自投标总价60%的，按一家投标人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对于国外贷款、援助资金项目，资金提供方规定当投标截止时间到达时，投标人少于3个可直接进入开标程序的，可以适用其规定。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第四十七条 开标时，由投标人或者其推选的代表检查投标文件的密封情况，也可以由招标人委托的公证机构检查并公证；经确认无误后，由工作人员当众拆封，宣读投标人名称、投标价格和投标文件的其他主要内容。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招标人在招标文件要求提交投标文件的截止时间前收到的所有投标文件，开标时都应当当众予以拆封、宣读。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投标人的开标一览表、投标声明（价格变更或其他声明）都应当在开标时一并唱出，否则在评标时不予认可。投标总价中不应当包含招标文件要求以外的产品或服务的价格。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第四十八条 投标人对开标有异议的，应当在开标现场提出，招标人或招标机构应当当场作出答复，并制作记录。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第四十九条 招标人或招标机构应当在开标时制作开标记录，并在开标后3个工作日内上传招标网存档。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第五十条 评标由招标人依照本办法组建的评标委员会负责。依法必须进行招标的项目，其评标委员会由招标人的代表和从事相关领域工作满8年并具有高级职称或者具有同等专业水平的技术、经济等相关领域专家组成，成员人数为5人以上单数，其中技术、经济等方面专家人数不得少于成员总数的2/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第五十一条 依法必须进行招标的项目，机电产品国际招标评标所需专家原则上由招标人或招标机构在招标网上从国家、地方两级专家库内相关专业类别中采用随机抽取的方式产生。任何单位和个人不得以明示、暗示等任何方式指定或者变相指定参加评标委员会的专家成员。但技术复杂、专业性强或者国家有特殊要求，采取随机抽取方式确定的专家难以保证其胜任评标工作的特殊招标项目，报相应主管部门后，可以由招标人直接确定评标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抽取评标所需的评标专家的时间不得早于开标时间3个工作日；同一项目包评标中，来自同一法人单位的评标专家不得超过评标委员会总人数的1/3。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随机抽取专家人数为实际所需专家人数。一次招标金额在1000万美元以上的国际招标项目包，所需专家的1/2以上应当从国家级专家库中抽取。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抽取工作应当使用招标网评标专家随机抽取自动通知系统。除专家不能参加和应当回避的情形外，不得废弃随机抽取的专家。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机电产品国际招标评标专家及专家库管理办法由商务部另行制定。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第五十二条 与投标人或其制造商有利害关系的人不得进入相关项目的评标委员会，评标专家不得参加与自己有利害关系的项目评标，且应当主动回避；已经进入的应当更换。主管部门的工作人员不得担任本机构负责监督项目的评标委员会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依法必须进行招标的项目的招标人非因招标投标法、招标投标法实施条例和本办法规定的事由，不得更换依法确定的评标委员会成员。更换评标委员会的专家成员应当依照本办法第五十一条规定进行。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第五十三条 评标委员会成员名单在中标结果确定前应当保密，如有泄密，除追究当事人责任外，还应当报相应主管部门后及时更换。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评标前，任何人不得向评标专家透露其即将参与的评标项目招标人、投标人的有关情况及其他应当保密的信息。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招标人和招标机构应当采取必要的措施保证评标在严格保密的情况下进行。任何单位和个人不得非法干预、影响评标的过程和结果。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泄密影响中标结果的，中标无效。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第五十四条 招标人应当向评标委员会提供评标所必需的信息，但不得向评标委员会成员明示或者暗示其倾向或者排斥特定投标人。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招标人应当根据项目规模和技术复杂程度等因素合理确定评标时间。超过1/3的评标委员会成员认为评标时间不够的，招标人应当适当延长。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评标过程中，评标委员会成员有回避事由、擅离职守或者因健康等原因不能继续评标的，应当于评标当日报相应主管部门后按照所缺专家的人数重新随机抽取，及时更换。被更换的评标委员会成员作出的评审结论无效，由更换后的评标委员会成员重新进行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第五十五条 评标委员会应当在开标当日开始进行评标。有特殊原因当天不能评标的，应当将投标文件封存，并在开标后48小时内开始进行评标。评标委员会成员应当依照招标投标法、招标投标法实施条例和本办法的规定，按照招标文件规定的评标方法和标准，独立、客观、公正地对投标文件提出评审意见。招标文件没有规定的评标方法和标准不得作为评标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第五十六条 采用最低评标价法评标的，在商务、技术条款均实质性满足招标文件要求时，评标价格最低者为排名第一的中标候选人；采用综合评价法评标的，在商务、技术条款均实质性满足招标文件要求时，综合评价最优者为排名第一的中标候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第五十七条 在商务评议过程中，有下列情形之一者，应予否决投标：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（一）投标人或其制造商与招标人有利害关系可能影响招标公正性的；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（二）投标人参与项目前期咨询或招标文件编制的；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（三）不同投标人单位负责人为同一人或者存在控股、管理关系的；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（四）投标文件未按招标文件的要求签署的；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（五）投标联合体没有提交共同投标协议的；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（六）投标人的投标书、资格证明材料未提供，或不符合国家规定或者招标文件要求的；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（七）同一投标人提交两个以上不同的投标方案或者投标报价的，但招标文件要求提交备选方案的除外；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（八）投标人未按招标文件要求提交投标保证金或保证金金额不足、保函有效期不足、投标保证金形式或出具投标保函的银行不符合招标文件要求的；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（九）投标文件不满足招标文件加注星号（“*”）的重要商务条款要求的；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（十）投标报价高于招标文件设定的最高投标限价的；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（十一）投标有效期不足的；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（十二）投标人有串通投标、弄虚作假、行贿等违法行为的；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（十三）存在招标文件中规定的否决投标的其他商务条款的。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前款所列材料在开标后不得澄清、后补；招标文件要求提供原件的，应当提供原件，否则将否决其投标。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第五十八条 对经资格预审合格、且商务评议合格的投标人不能再因其资格不合格否决其投标，但在招标周期内该投标人的资格发生了实质性变化不再满足原有资格要求的除外。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第五十九条 技术评议过程中，有下列情形之一者，应予否决投标：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（一）投标文件不满足招标文件技术规格中加注星号（“*”）的重要条款（参数）要求，或加注星号（“*”）的重要条款（参数）无符合招标文件要求的技术资料支持的；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（二）投标文件技术规格中一般参数超出允许偏离的最大范围或最多项数的；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（三）投标文件技术规格中的响应与事实不符或虚假投标的；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（四）投标人复制招标文件的技术规格相关部分内容作为其投标文件中一部分的；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（五）存在招标文件中规定的否决投标的其他技术条款的。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第六十条 采用最低评标价法评标的，价格评议按下列原则进行：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一）按招标文件中的评标依据进行评标。计算评标价格时，对需要进行价格调整的部分，要依据招标文件和投标文件的内容加以调整并说明。投标总价中包含的招标文件要求以外的产品或服务，在评标时不予核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（二）除国外贷款、援助资金项目外，计算评标总价时，以货物到达招标人指定到货地点为依据；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（三）招标文件允许以多种货币投标的，在进行价格评标时，应当以开标当日中国银行总行首次发布的外币对人民币的现汇卖出价进行投标货币对评标货币的转换以计算评标价格。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第六十一条 采用综合评价法评标时，按下列原则进行：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（一）评标办法应当充分考虑每个评价指标所有可能的投标响应，且每一种可能的投标响应应当对应一个明确的评价值，不得对应多个评价值或评价值区间，采用两步评价方法的除外。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对于总体设计、总体方案等难以量化比较的评价内容，可以采取两步评价方法：第一步，评标委员会成员独立确定投标人该项评价内容的优劣等级，根据优劣等级对应的评价值算术平均后确定该投标人该项评价内容的平均等级；第二步，评标委员会成员根据投标人的平均等级，在对应的分值区间内给出评价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（二）价格评价应当符合低价优先、经济节约的原则，并明确规定评议价格最低的有效投标人将获得价格评价的最高评价值，价格评价的最大可能评价值和最小可能评价值应当分别为价格最高评价值和零评价值。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（三）评标委员会应当根据综合评价值对各投标人进行排名。综合评价值相同的，依照价格、技术、商务、服务及其他评价内容的优先次序，根据分项评价值进行排名。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第六十二条 招标文件允许备选方案的，评标委员会对有备选方案的投标人进行评审时，应当以主选方案为准进行评标。备选方案应当实质性响应招标文件要求。凡提供两个以上备选方案或者未按要求注明主选方案的，该投标应当被否决。凡备选方案的投标价格高于主选方案的，该备选方案将不予采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第六十三条 投标人应当根据招标文件要求和产品技术要求列出供货产品清单和分项报价。投标人投标报价缺漏项超出招标文件允许的范围或比重的，为实质性偏离招标文件要求，评标委员会应当否决其投标。缺漏项在招标文件允许的范围或比重内的，评标时应当要求投标人确认缺漏项是否包含在投标价中，确认包含的，将其他有效投标中该项的最高价计入其评标总价，并依据此评标总价对其一般商务和技术条款（参数）偏离进行价格调整；确认不包含的，评标委员会应当否决其投标；签订合同时以投标价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第六十四条 投标文件中有含义不明确的内容、明显文字或者计算错误，评标委员会认为需要投标人作出必要澄清、说明的，应当书面通知该投标人。投标人的澄清、说明应当采用书面形式在评标委员会规定的时间内提交，并不得超出投标文件的范围或者改变投标文件的实质性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投标人的投标文件不响应招标文件加注星号（“*”）的重要商务和技术条款（参数），或加注星号（“*”）的重要技术条款（参数）未提供符合招标文件要求的技术支持资料的，评标委员会不得要求其进行澄清或后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评标委员会不得暗示或者诱导投标人作出澄清、说明，不得接受投标人主动提出的澄清、说明。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第六十五条 评标委员会经评审，认为所有投标都不符合招标文件要求的，可以否决所有投标。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依法必须进行招标的项目的所有投标被否决的，招标人应当依照本办法重新招标。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第六十六条 评标完成后，评标委员会应当向招标人提交书面评标报告和中标候选人名单。中标候选人应当不超过3个，并标明排序。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评标委员会的每位成员应当分别填写评标委员会成员评标意见表（见附件2），评标意见表是评标报告必不可少的一部分。评标报告应当由评标委员会全体成员签字。对评标结果有不同意见的评标委员会成员应当以书面形式说明其不同意见和理由，评标报告应当注明该不同意见。评标委员会成员拒绝在评标报告上签字又不说明其不同意见和理由的，视为同意评标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专家受聘承担的具体项目评审工作结束后，招标人或者招标机构应当在招标网对专家的能力、水平、履行职责等方面进行评价，评价结果分为优秀、称职和不称职。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第六章  评标结果公示和中标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第六十七条 依法必须进行招标的项目，招标人或招标机构应当依据评标报告填写《评标结果公示表》，并自收到评标委员会提交的书面评标报告之日起3日内在招标网上进行评标结果公示。评标结果应当一次性公示，公示期不得少于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采用最低评标价法评标的，《评标结果公示表》中的内容包括“中标候选人排名”、“投标人及制造商名称”、“评标价格”和“评议情况”等。每个投标人的评议情况应当按商务、技术和价格评议三个方面在《评标结果公示表》中分别填写，填写的内容应当明确说明招标文件的要求和投标人的响应内容。对一般商务和技术条款（参数）偏离进行价格调整的，在评标结果公示时，招标人或招标机构应当明确公示价格调整的依据、计算方法、投标文件偏离内容及相应的调整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采用综合评价法评标的，《评标结果公示表》中的内容包括“中标候选人排名”、“投标人及制造商名称”、“综合评价值”、“商务、技术、价格、服务及其他等大类评价项目的评价值”和“评议情况”等。每个投标人的评议情况应当明确说明招标文件的要求和投标人的响应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使用国外贷款、援助资金的项目，招标人或招标机构应当自收到评标委员会提交的书面评标报告之日起3日内向资金提供方报送评标报告，并自获其出具不反对意见之日起3日内在招标网上进行评标结果公示。资金提供方对评标报告有反对意见的，招标人或招标机构应当及时将资金提供方的意见报相应的主管部门，并依照本办法重新招标或者重新评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第六十八条 评标结果进行公示后，各方当事人可以通过招标网查看评标结果公示的内容。招标人或招标机构应当应投标人的要求解释公示内容。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第六十九条 投标人或者其他利害关系人对依法必须进行招标的项目的评标结果有异议的，应当于公示期内向招标人或招标机构提出，并将异议内容上传招标网。招标人或招标机构应当在收到异议之日起3日内作出答复，并将答复内容上传招标网；作出答复前，应当暂停招标投标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异议答复应当对异议问题逐项说明，但不得涉及其他投标人的投标秘密。未在评标报告中体现的不满足招标文件要求的其他方面的偏离不能作为答复异议的依据。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经原评标委员会按照招标文件规定的方法和标准审查确认，变更原评标结果的，变更后的评标结果应当依照本办法进行公示。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第七十条 招标人根据评标委员会提出的书面评标报告和推荐的中标候选人确定中标人。招标人也可以授权评标委员会直接确定中标人。国有资金占控股或者主导地位的依法必须进行招标的项目，以及使用国外贷款、援助资金的项目，招标人应当确定排名第一的中标候选人为中标人。排名第一的中标候选人放弃中标、因不可抗力不能履行合同、不按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第七十一条 评标结果公示无异议的，公示期结束后该评标结果自动生效并进行中标结果公告；评标结果公示有异议，但是异议答复后10日内无投诉的，异议答复10日后按照异议处理结果进行公告；评标结果公示有投诉的，相应主管部门做出投诉处理决定后，按照投诉处理决定进行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第七十二条 依法必须进行招标的项目，中标人确定后，招标人应当在中标结果公告后20日内向中标人发出中标通知书，并在中标结果公告后15日内将评标情况的报告（见附件3）提交至相应的主管部门。中标通知书也可以由招标人委托其招标机构发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使用国外贷款、援助资金的项目，异议或投诉的结果与报送资金提供方的评标报告不一致的，招标人或招标机构应当按照异议或投诉的结果修改评标报告，并将修改后的评标报告报送资金提供方，获其不反对意见后向中标人发出中标通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第七十三条 中标结果公告后15日内，招标人或招标机构应当在招标网完成该项目包招标投标情况及其相关数据的存档。存档的内容应当与招标投标实际情况一致。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第七十四条 中标候选人的经营、财务状况发生较大变化或者存在违法行为，招标人认为可能影响其履约能力的，应当在发出中标通知书前由原评标委员会按照招标文件规定的方法和标准审查确认。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第七十五条 中标通知书对招标人和中标人具有法律效力。中标通知书发出后，招标人改变中标结果的，或者中标人放弃中标项目的，应当依法承担法律责任。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第七十六条 招标人和中标人应当自中标通知书发出之日起30日内，依照招标投标法、招标投标法实施条例和本办法的规定签订书面合同，合同的标的、价款、质量、履行期限等主要条款应当与招标文件和中标人的投标文件的内容一致。招标人或中标人不得拒绝或拖延与另一方签订合同。 招标人和中标人不得再行订立背离合同实质性内容的其他协议。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招标人最迟应当在书面合同签订后5日内向中标人和未中标的投标人退还投标保证金及银行同期存款利息。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第七十七条 招标文件要求中标人提交履约保证金的，中标人应当按照招标文件的要求提交。履约保证金不得超过中标合同金额的10%。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第七十八条 中标产品来自关境外的，由招标人按照国家有关规定办理进口手续。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第七十九条 中标人应当按照合同约定履行义务，完成中标项目。中标人不得向他人转让中标项目，也不得将中标项目肢解后分别向他人转让。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第八十条 依法必须进行招标的项目，在国际招标过程中，因招标人的采购计划发生重大变更等原因，经项目主管部门批准，报相应的主管部门后，招标人可以重新组织招标。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第八十一条 招标人或招标机构应当按照有关规定妥善保存招标委托协议、资格预审公告、招标公告、资格预审文件、招标文件、资格预审申请文件、投标文件、异议及答复等相关资料，以及与评标相关的评标报告、专家评标意见、综合评价法评价原始记录表等资料，并对评标情况和资料严格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第七章  投诉与处理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第八十二条 投标人或者其他利害关系人认为招标投标活动不符合法律、行政法规及本办法规定的，可以自知道或者应当知道之日起10日内向相应主管部门投诉。就本办法第三十六条规定事项进行投诉的，潜在投标人或者其他利害关系人应当在自领购资格预审文件或招标文件10日内向相应的主管部门提出；就本办法第四十八条规定事项进行投诉的，投标人或者其他利害关系人应当在自开标10日内向相应的主管部门提出；就本办法第六十九条规定事项进行投诉的，投标人或者其他利害关系人应当在自评标结果公示结束10日内向相应的主管部门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就本办法第三十六条、第四十八条、第六十九条规定事项投诉的，应当先向招标人提出异议，异议答复期间不计算在前款规定的期限内。就异议事项投诉的，招标人或招标机构应当在该项目被网上投诉后3日内，将异议相关材料提交相应的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第八十三条 投诉人应当于投诉期内在招标网上填写《投诉书》（见附件4）（就异议事项进行投诉的，应当提供异议和异议答复情况及相关证明材料），并将由投诉人单位负责人或单位负责人授权的人签字并盖章的《投诉书》、单位负责人证明文件及相关材料在投诉期内送达相应的主管部门。境外投诉人所在企业无印章的，以单位负责人或单位负责人授权的人签字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投诉应当有明确的请求和必要的证明材料。投诉有关材料是外文的，投诉人应当同时提供其中文译本，并以中文译本为准。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投诉人应保证其提出投诉内容及相应证明材料的真实性及来源的合法性，并承担相应的法律责任。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第八十四条 主管部门应当自收到书面投诉书之日起3个工作日内决定是否受理投诉，并将是否受理的决定在招标网上告知投诉人。主管部门应当自受理投诉之日起30个工作日内作出书面处理决定（见附件5），并将书面处理决定在招标网上告知投诉人；需要检验、检测、鉴定、专家评审的，以及监察机关依法对与招标投标活动有关的监察对象实施调查并可能影响投诉处理决定的，所需时间不计算在内。使用国外贷款、援助资金的项目，需征求资金提供方意见的，所需时间不计算在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主管部门在处理投诉时，有权查阅、复制有关文件、资料，调查有关情况，相关单位和人员应当予以配合。必要时，主管部门可以责令暂停招标投标活动。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主管部门在处理投诉期间，招标人或招标机构应当就投诉的事项协助调查。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第八十五条 有下列情形之一的投诉，不予受理：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（一）就本办法第三十六条、第四十八条、第六十九条规定事项投诉，其投诉内容在提起投诉前未按照本办法的规定提出异议的；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（二）投诉人不是投标人或者其他利害关系人的；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（三）《投诉书》未按本办法有关规定签字或盖章，或者未提供单位负责人证明文件的；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（四）没有明确请求的，或者未按本办法提供相应证明材料的；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（五）涉及招标评标过程具体细节、其他投标人的商业秘密或其他投标人的投标文件具体内容但未能说明内容真实性和来源合法性的；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（六）未在规定期限内在招标网上提出的；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（七）未在规定期限内将投诉书及相关证明材料送达相应主管部门的。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第八十六条 在评标结果投诉处理过程中，发现招标文件重要商务或技术条款（参数）出现内容错误、前后矛盾或与国家相关法律法规不一致的情形，影响评标结果公正性的，当次招标无效，主管部门将在招标网上予以公布。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第八十七条 招标人对投诉的内容无法提供充分解释和说明的，主管部门可以自行组织或者责成招标人、招标机构组织专家就投诉的内容进行评审。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就本办法第三十六条规定事项投诉的，招标人或招标机构应当从专家库中随机抽取3人以上单数评审专家。评审专家不得作为同一项目包的评标专家。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就本办法第六十九条规定事项投诉的，招标人或招标机构应当从国家级专家库中随机抽取评审专家，国家级专家不足时，可由地方级专家库中补充，但国家级专家不得少于2/3。评审专家不得包含参与该项目包评标的专家，并且专家人数不得少于评标专家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第八十八条 投诉人拒绝配合主管部门依法进行调查的，被投诉人不提交相关证据、依据和其他有关材料的，主管部门按照现有可获得的材料对相关投诉依法作出处理。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第八十九条 投诉处理决定作出前，经主管部门同意，投诉人可以撤回投诉。投诉人申请撤回投诉的，应当以书面形式提交给主管部门，并同时在网上提出撤回投诉申请。已经查实投诉内容成立的，投诉人撤回投诉的行为不影响投诉处理决定。投诉人撤回投诉的，不得以同一的事实和理由再次进行投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第九十条 主管部门经审查，对投诉事项可作出下列处理决定：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（一）投诉内容未经查实前，投诉人撤回投诉的，终止投诉处理；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（二）投诉缺乏事实根据或者法律依据的，以及投诉人捏造事实、伪造材料或者以非法手段取得证明材料进行投诉的，驳回投诉；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（三）投诉情况属实，招标投标活动确实存在不符合法律、行政法规和本办法规定的，依法作出招标无效、投标无效、中标无效、修改资格预审文件或者招标文件等决定。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第九十一条 商务部在招标网设立信息发布栏，包括下列内容：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（一）投诉汇总统计，包括年度内受到投诉的项目、招标人、招标机构名称和投诉处理结果等；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（二）招标机构代理项目投诉情况统计，包括年度内项目投诉数量、投诉率及投诉处理结果等；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（三）投标人及其他利害关系人投诉情况统计，包括年度内项目投诉数量、投诉率及不予受理投诉、驳回投诉、不良投诉（本办法第九十六条第四项的投诉行为）等；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（四）违法统计，包括年度内在招标投标活动过程中违反相关法律、行政法规和本办法的当事人、项目名称、违法情况和处罚结果。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第九十二条 主管部门应当建立投诉处理档案，并妥善保存。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第八章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第九十三条 招标人对依法必须进行招标的项目不招标或化整为零以及以其他任何方式规避国际招标的，由相应主管部门责令限期改正，可以处项目合同金额0.5%以上1%以下的罚款；对全部或者部分使用国有资金的项目，可以通告项目主管机构暂停项目执行或者暂停资金拨付；对单位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第九十四条 招标人有下列行为之一的，依照招标投标法、招标投标法实施条例的有关规定处罚：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（一）依法应当公开招标而采用邀请招标的；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（二）以不合理的条件限制、排斥潜在投标人的，对潜在投标人实行歧视待遇的，强制要求投标人组成联合体共同投标的，或者限制投标人之间竞争的；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（三）招标文件、资格预审文件的发售、澄清、修改的时限，或者确定的提交资格预审申请文件、投标文件的时限不符合规定的；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（四）不按照规定组建评标委员会，或者确定、更换评标委员会成员违反规定的；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（五）接受未通过资格预审的单位或者个人参加投标，或者接受应当拒收的投标文件的；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（六）违反规定，在确定中标人前与投标人就投标价格、投标方案等实质性内容进行谈判的；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（七）不按照规定确定中标人的；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（八）不按照规定对异议作出答复，继续进行招标投标活动的；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（九）无正当理由不发出中标通知书，或者中标通知书发出后无正当理由改变中标结果的；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（十）无正当理由不与中标人订立合同，或者在订立合同时向中标人提出附加条件的；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（十一）不按照招标文件和中标人的投标文件与中标人订立合同，或者与中标人订立背离合同实质性内容的协议的；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（十二）向他人透露已获取招标文件的潜在投标人的名称、数量或者可能影响公平竞争的有关招标投标的其他情况的，或者泄露标底的。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第九十五条 招标人有下列行为之一的，给予警告，并处3万元以下罚款；该行为影响到评标结果的公正性的，当次招标无效：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（一）与投标人相互串通、虚假招标投标的；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（二）以不正当手段干扰招标投标活动的；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（三）不履行与中标人订立的合同的；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（四）除本办法第九十四条第十二项所列行为外，其他泄漏应当保密的与招标投标活动有关的情况、材料或信息的；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（五）对主管部门的投诉处理决定拒不执行的；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（六）其他违反招标投标法、招标投标法实施条例和本办法的行为。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第九十六条 投标人有下列行为之一的，依照招标投标法、招标投标法实施条例的有关规定处罚：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（一）与其他投标人或者与招标人相互串通投标的；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（二）以向招标人或者评标委员会成员行贿的手段谋取中标的；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（三）以他人名义投标或者以其他方式弄虚作假，骗取中标的；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（四）捏造事实、伪造材料或者以非法手段取得证明材料进行投诉的。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有前款所列行为的投标人不得参与该项目的重新招标。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第九十七条 投标人有下列行为之一的，当次投标无效，并给予警告，并处3万元以下罚款：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（一）虚假招标投标的；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（二）以不正当手段干扰招标、评标工作的；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（三）投标文件及澄清资料与事实不符，弄虚作假的；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（四）在投诉处理过程中，提供虚假证明材料的；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（五）中标通知书发出之前与招标人签订合同的；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（六）中标的投标人不按照其投标文件和招标文件与招标人签订合同的或提供的产品不符合投标文件的；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（七）其他违反招标投标法、招标投标法实施条例和本办法的行为。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有前款所列行为的投标人不得参与该项目的重新招标。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第九十八条 中标人有下列行为之一的，依照招标投标法、招标投标法实施条例的有关规定处罚：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（一）无正当理由不与招标人订立合同的，或者在签订合同时向招标人提出附加条件的；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（二）不按照招标文件要求提交履约保证金的；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（三）不履行与招标人订立的合同的。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有前款所列行为的投标人不得参与该项目的重新招标。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第九十九条 招标机构有下列行为之一的，依照招标投标法、招标投标法实施条例的有关规定处罚：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（一）与招标人、投标人串通损害国家利益、社会公共利益或者他人合法权益的；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（二）在所代理的招标项目中投标、代理投标或者向该项目投标人提供咨询的；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（三）参加受托编制标底项目的投标或者为该项目的投标人编制投标文件、提供咨询的；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（四）泄漏应当保密的与招标投标活动有关的情况和资料的。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第一百条 招标机构有下列行为之一的，给予警告，并处3万元以下罚款；该行为影响到整个招标公正性的，当次招标无效：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（一）与招标人、投标人相互串通、搞虚假招标投标的；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（二）在进行机电产品国际招标机构登记时填写虚假信息或提供虚假证明材料的；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（三）无故废弃随机抽取的评审专家的；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（四）不按照规定及时向主管部门报送材料或者向主管部门提供虚假材料的；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（五）未在规定的时间内将招标投标情况及其相关数据上传招标网，或者在招标网上发布、公示或存档的内容与招标公告、招标文件、投标文件、评标报告等相应书面内容存在实质性不符的；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（六）不按照本办法规定对异议作出答复的，或者在投诉处理的过程中未按照主管部门要求予以配合的；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（七）因招标机构的过失，投诉处理结果为招标无效或中标无效，6个月内累计2次，或一年内累计3次的；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（八）不按照本办法规定发出中标通知书或者擅自变更中标结果的；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（九）其他违反招标投标法、招标投标法实施条例和本办法的行为。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第一百零一条 评标委员会成员有下列行为之一的，依照招标投标法、招标投标法实施条例的有关规定处罚：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（一）应当回避而不回避的；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（二）擅离职守的；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（三）不按照招标文件规定的评标方法和标准评标的；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（四）私下接触投标人的；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（五）向招标人征询确定中标人的意向或者接受任何单位或者个人明示或者暗示提出的倾向或者排斥特定投标人的要求的；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（六）暗示或者诱导投标人作出澄清、说明或者接受投标人主动提出的澄清、说明的；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（七）对依法应当否决的投标不提出否决意见的；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（八）向他人透露对投标文件的评审和比较、中标候选人的推荐以及与评标有关的其他情况的。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第一百零二条 评标委员会成员有下列行为之一的，将被从专家库名单中除名，同时在招标网上予以公告：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（一）弄虚作假，谋取私利的；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（二）在评标时拒绝出具明确书面意见的；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（三）除本办法第一百零一条第八项所列行为外，其他泄漏应当保密的与招标投标活动有关的情况和资料的；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（四）与投标人、招标人、招标机构串通的；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（五）专家1年内2次被评价为不称职的；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（六）专家无正当理由拒绝参加评标的；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（七）其他不客观公正地履行职责的行为，或违反招标投标法、招标投标法实施条例和本办法的行为。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前款所列行为影响中标结果的，中标无效。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第一百零三条  除评标委员会成员之外的其他评审专家有本办法第一百零一条和第一百零二条所列行为之一的，将被从专家库名单中除名，同时在招标网上予以公告。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第一百零四条 招标网承办单位有下列行为之一的，商务部予以警告并责令改正；情节严重的或拒不改正的，商务部可以中止或终止其委托服务协议；给招标投标活动当事人造成损失的，应当承担赔偿责任；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（一）超出商务部委托范围从事与委托事项相关活动的；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（二）利用承办商务部委托范围内事项向有关当事人收取费用的；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（三）无正当理由拒绝或者延误潜在投标人于投标截止时间前在招标网免费注册的；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（四）泄露应当保密的与招标投标活动有关情况和资料的；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（五）在委托范围内，利用有关当事人的信息非法获取利益的；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（六）擅自修改招标人、投标人或招标机构上传资料的；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（七）与招标人、投标人、招标机构相互串通、搞虚假招标投标的；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（八）其他违反招标投标法、招标投标法实施条例及本办法的。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第一百零五条 主管部门在处理投诉过程中，发现被投诉人单位直接负责的主管人员和其他直接责任人员有违法、违规或者违纪行为的，应当建议其行政主管机关、纪检监察部门给予处分；情节严重构成犯罪的，移送司法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第一百零六条 主管部门不依法履行职责，对违反招标投标法、招标投标法实施条例和本办法规定的行为不依法查处，或者不按照规定处理投诉、不依法公告对招标投标当事人违法行为的行政处理决定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主管部门工作人员在招标投标活动监督过程中徇私舞弊、滥用职权、玩忽职守，构成犯罪的，依法追究刑事责任。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第一百零七条 出让或者出租资格、资质证书供他人投标的，依照法律、行政法规的规定给予行政处罚；构成犯罪的，依法追究刑事责任。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第一百零八条 依法必须进行招标的项目的招标投标活动违反招标投标法、招标投标法实施条例和本办法的规定，对中标结果造成实质性影响，且不能采取补救措施予以纠正的，招标、投标、中标无效，应当依照本办法重新招标或者重新评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重新评标应当由招标人依照本办法组建新的评标委员会负责。前一次参与评标的专家不得参与重新招标或者重新评标。依法必须进行招标的项目，重新评标的结果应当依照本办法进行公示。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除法律、行政法规和本办法规定外，招标人不得擅自决定重新招标或重新评标。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第一百零九条 本章规定的行政处罚，由相应的主管部门决定。招标投标法、招标投标法实施条例已对实施行政处罚的机关作出规定的除外。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第九章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第一百一十条 不属于工程建设项目，但属于固定资产投资项目的机电产品国际招标投标活动，按照本办法执行。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第一百一十一条 与机电产品有关的设计、方案、技术等国际招标投标，可参照本办法执行。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第一百一十二条 使用国外贷款、援助资金进行机电产品国际招标的，应当按照本办法的有关规定执行。贷款方、资金提供方对招标投标的具体条件和程序有不同规定的，可以适用其规定，但违背中华人民共和国的国家安全或社会公共利益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第一百一十三条 机电产品国际招标投标活动采用电子招标投标方式的，应当按照本办法和国家有关电子招标投标的规定执行。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第一百一十四条 本办法所称“单位负责人”，是指单位法定代表人或者法律、行政法规规定代表单位行使职权的主要负责人。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第一百一十五条 本办法所称“日”为日历日，期限的最后一日是国家法定节假日的，顺延到节假日后的次日为期限的最后一日。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第一百一十六条 本办法中CIF、CIP、DDP等贸易术语，应当根据国际商会（ICC）现行最新版本的《国际贸易术语解释通则》的规定解释。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第一百一十七条 本办法由商务部负责解释。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仿宋_GB2312" w:eastAsia="仿宋_GB2312" w:cs="仿宋_GB2312"/>
          <w:color w:val="333333"/>
          <w:sz w:val="32"/>
          <w:szCs w:val="32"/>
          <w:bdr w:val="none" w:color="auto" w:sz="0" w:space="0"/>
        </w:rPr>
        <w:t xml:space="preserve">  第一百一十八条 本办法自2014年4月1日起施行。《机电产品国际招标投标实施办法》（商务部2004年第13号令）同时废止。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mpact">
    <w:panose1 w:val="020B0806030902050204"/>
    <w:charset w:val="00"/>
    <w:family w:val="auto"/>
    <w:pitch w:val="default"/>
    <w:sig w:usb0="00000287" w:usb1="00000000" w:usb2="00000000" w:usb3="00000000" w:csb0="2000009F" w:csb1="DFD70000"/>
  </w:font>
  <w:font w:name="OPPOSans">
    <w:altName w:val="Segoe Print"/>
    <w:panose1 w:val="00000000000000000000"/>
    <w:charset w:val="00"/>
    <w:family w:val="auto"/>
    <w:pitch w:val="default"/>
    <w:sig w:usb0="00000000" w:usb1="00000000" w:usb2="00000000" w:usb3="00000000" w:csb0="00000000" w:csb1="00000000"/>
  </w:font>
  <w:font w:name="D-DI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014B0"/>
    <w:rsid w:val="76501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FollowedHyperlink"/>
    <w:basedOn w:val="5"/>
    <w:uiPriority w:val="0"/>
    <w:rPr>
      <w:color w:val="800080"/>
      <w:u w:val="none"/>
    </w:rPr>
  </w:style>
  <w:style w:type="character" w:styleId="7">
    <w:name w:val="HTML Definition"/>
    <w:basedOn w:val="5"/>
    <w:uiPriority w:val="0"/>
  </w:style>
  <w:style w:type="character" w:styleId="8">
    <w:name w:val="HTML Typewriter"/>
    <w:basedOn w:val="5"/>
    <w:uiPriority w:val="0"/>
    <w:rPr>
      <w:rFonts w:ascii="monospace" w:hAnsi="monospace" w:eastAsia="monospace" w:cs="monospace"/>
      <w:sz w:val="20"/>
    </w:rPr>
  </w:style>
  <w:style w:type="character" w:styleId="9">
    <w:name w:val="HTML Acronym"/>
    <w:basedOn w:val="5"/>
    <w:uiPriority w:val="0"/>
    <w:rPr>
      <w:bdr w:val="none" w:color="auto" w:sz="0" w:space="0"/>
    </w:rPr>
  </w:style>
  <w:style w:type="character" w:styleId="10">
    <w:name w:val="HTML Variable"/>
    <w:basedOn w:val="5"/>
    <w:uiPriority w:val="0"/>
  </w:style>
  <w:style w:type="character" w:styleId="11">
    <w:name w:val="Hyperlink"/>
    <w:basedOn w:val="5"/>
    <w:uiPriority w:val="0"/>
    <w:rPr>
      <w:color w:val="0000FF"/>
      <w:u w:val="none"/>
    </w:rPr>
  </w:style>
  <w:style w:type="character" w:styleId="12">
    <w:name w:val="HTML Code"/>
    <w:basedOn w:val="5"/>
    <w:uiPriority w:val="0"/>
    <w:rPr>
      <w:rFonts w:hint="default" w:ascii="monospace" w:hAnsi="monospace" w:eastAsia="monospace" w:cs="monospace"/>
      <w:sz w:val="20"/>
      <w:bdr w:val="none" w:color="auto" w:sz="0" w:space="0"/>
    </w:rPr>
  </w:style>
  <w:style w:type="character" w:styleId="13">
    <w:name w:val="HTML Cite"/>
    <w:basedOn w:val="5"/>
    <w:uiPriority w:val="0"/>
  </w:style>
  <w:style w:type="character" w:styleId="14">
    <w:name w:val="HTML Keyboard"/>
    <w:basedOn w:val="5"/>
    <w:uiPriority w:val="0"/>
    <w:rPr>
      <w:rFonts w:hint="default" w:ascii="monospace" w:hAnsi="monospace" w:eastAsia="monospace" w:cs="monospace"/>
      <w:sz w:val="20"/>
    </w:rPr>
  </w:style>
  <w:style w:type="character" w:styleId="15">
    <w:name w:val="HTML Sample"/>
    <w:basedOn w:val="5"/>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2022-03-25T06:40:00Z</dcterms:created>
  <dc:creator>鹰击长空</dc:creator>
  <cp:lastModifiedBy>鹰击长空</cp:lastModifiedBy>
  <dcterms:modified xsi:type="dcterms:W3CDTF">2022-03-25T06:41:20Z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A786A1BAE6F3448BBD7ED77CDFAEBD5C</vt:lpwstr>
  </property>
</Properties>
</file>