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88DC7" w14:textId="77777777" w:rsidR="00F92F4C" w:rsidRDefault="00F92F4C">
      <w:pPr>
        <w:ind w:firstLineChars="0" w:firstLine="0"/>
        <w:jc w:val="distribute"/>
        <w:rPr>
          <w:rFonts w:ascii="仿宋_GB2312" w:eastAsia="仿宋_GB2312" w:hAnsi="仿宋_GB2312" w:cs="仿宋_GB2312"/>
          <w:b/>
          <w:spacing w:val="-70"/>
          <w:sz w:val="32"/>
          <w:szCs w:val="32"/>
        </w:rPr>
      </w:pPr>
    </w:p>
    <w:p w14:paraId="25C3CB82" w14:textId="77777777" w:rsidR="00F92F4C" w:rsidRDefault="00F92F4C">
      <w:pPr>
        <w:ind w:firstLineChars="0" w:firstLine="0"/>
        <w:jc w:val="distribute"/>
        <w:rPr>
          <w:rFonts w:ascii="仿宋_GB2312" w:eastAsia="仿宋_GB2312" w:hAnsi="仿宋_GB2312" w:cs="仿宋_GB2312"/>
          <w:b/>
          <w:spacing w:val="-70"/>
          <w:sz w:val="32"/>
          <w:szCs w:val="32"/>
        </w:rPr>
      </w:pPr>
    </w:p>
    <w:p w14:paraId="63630740" w14:textId="77777777" w:rsidR="00F92F4C" w:rsidRDefault="00F92F4C">
      <w:pPr>
        <w:ind w:firstLine="640"/>
        <w:jc w:val="distribute"/>
        <w:rPr>
          <w:rFonts w:ascii="仿宋_GB2312" w:eastAsia="仿宋_GB2312" w:hAnsi="仿宋_GB2312" w:cs="仿宋_GB2312"/>
          <w:sz w:val="32"/>
          <w:szCs w:val="32"/>
        </w:rPr>
      </w:pPr>
    </w:p>
    <w:p w14:paraId="691A17F6" w14:textId="77777777" w:rsidR="00F92F4C" w:rsidRDefault="00F92F4C">
      <w:pPr>
        <w:ind w:firstLine="360"/>
        <w:jc w:val="distribute"/>
        <w:rPr>
          <w:rFonts w:ascii="仿宋_GB2312" w:eastAsia="仿宋_GB2312" w:hAnsi="仿宋_GB2312" w:cs="仿宋_GB2312"/>
          <w:spacing w:val="-70"/>
          <w:sz w:val="32"/>
          <w:szCs w:val="32"/>
        </w:rPr>
      </w:pPr>
    </w:p>
    <w:p w14:paraId="29161FEB" w14:textId="77777777" w:rsidR="00F92F4C" w:rsidRDefault="00756279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青海省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公共资源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交易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平台工作人员</w:t>
      </w:r>
    </w:p>
    <w:p w14:paraId="50D35542" w14:textId="77777777" w:rsidR="00F92F4C" w:rsidRDefault="00756279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数据统计操作手册</w:t>
      </w:r>
    </w:p>
    <w:p w14:paraId="567AAB7A" w14:textId="77777777" w:rsidR="00F92F4C" w:rsidRDefault="00F92F4C">
      <w:pPr>
        <w:pStyle w:val="20"/>
        <w:ind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B1153BE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2C6737F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2498FF3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B243BB0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12A3AE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E1E34C3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7DADB8E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</w:p>
    <w:p w14:paraId="6225B1B2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</w:p>
    <w:p w14:paraId="5B1EF512" w14:textId="77777777" w:rsidR="00F92F4C" w:rsidRDefault="00F92F4C">
      <w:pPr>
        <w:ind w:firstLine="420"/>
      </w:pPr>
    </w:p>
    <w:p w14:paraId="4DAC9399" w14:textId="77777777" w:rsidR="00F92F4C" w:rsidRDefault="00F92F4C">
      <w:pPr>
        <w:ind w:firstLine="420"/>
      </w:pPr>
    </w:p>
    <w:p w14:paraId="70A7292C" w14:textId="77777777" w:rsidR="00F92F4C" w:rsidRDefault="00F92F4C">
      <w:pPr>
        <w:ind w:firstLine="420"/>
      </w:pPr>
    </w:p>
    <w:p w14:paraId="57E37FF5" w14:textId="77777777" w:rsidR="00F92F4C" w:rsidRDefault="00F92F4C">
      <w:pPr>
        <w:ind w:firstLine="420"/>
      </w:pPr>
    </w:p>
    <w:p w14:paraId="4DB0C753" w14:textId="77777777" w:rsidR="00F92F4C" w:rsidRDefault="00F92F4C">
      <w:pPr>
        <w:ind w:firstLine="420"/>
      </w:pPr>
    </w:p>
    <w:p w14:paraId="11DB9585" w14:textId="77777777" w:rsidR="00F92F4C" w:rsidRDefault="00756279">
      <w:pPr>
        <w:tabs>
          <w:tab w:val="left" w:pos="1596"/>
        </w:tabs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  <w:sectPr w:rsidR="00F92F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567" w:footer="624" w:gutter="0"/>
          <w:pgNumType w:start="1"/>
          <w:cols w:space="425"/>
          <w:titlePg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月</w:t>
      </w:r>
    </w:p>
    <w:p w14:paraId="7C08E6A1" w14:textId="77777777" w:rsidR="00F92F4C" w:rsidRDefault="00756279">
      <w:pPr>
        <w:ind w:firstLineChars="0" w:firstLine="0"/>
        <w:jc w:val="center"/>
        <w:rPr>
          <w:rFonts w:ascii="仿宋_GB2312" w:eastAsia="仿宋_GB2312" w:hAnsi="仿宋_GB2312" w:cs="仿宋_GB2312"/>
          <w:b/>
          <w:spacing w:val="198"/>
          <w:kern w:val="2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pacing w:val="198"/>
          <w:kern w:val="20"/>
          <w:sz w:val="32"/>
          <w:szCs w:val="32"/>
        </w:rPr>
        <w:lastRenderedPageBreak/>
        <w:t>目录</w:t>
      </w:r>
    </w:p>
    <w:p w14:paraId="7C84AB3E" w14:textId="593F36C8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sz w:val="32"/>
          <w:szCs w:val="32"/>
        </w:rPr>
        <w:instrText xml:space="preserve"> TOC \o "1-3" \h \z \u </w:instrText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separate"/>
      </w:r>
      <w:hyperlink w:anchor="_Toc8116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一、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开标数据统计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_Toc8116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08AA5400" w14:textId="7F971A3F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16050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1.1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_Toc16050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09653BD3" w14:textId="69B600E7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32043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二、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电子招标文件制作统计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_Toc32043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0BB4CD7F" w14:textId="4C2FDE5E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838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2.1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_Toc2838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2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323C2B53" w14:textId="4C3A2D42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9249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三、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异常数据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_Toc29249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2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4956CCBE" w14:textId="7E4241C0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812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3.1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_Toc812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3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21F97AB4" w14:textId="5AD5D8EC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0892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3.2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处理操作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_Toc20892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3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7AE51185" w14:textId="66AB72F2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9576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四、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交易数据展示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_Toc9576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40DE1C1E" w14:textId="1CFC4C8D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5756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4.1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_Toc25756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23E98E08" w14:textId="264017FF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0329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五、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中标区间统计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_Toc20329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51FA884B" w14:textId="3A8F6A7E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19772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5.1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_Toc19772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5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134B98B7" w14:textId="06D2E550" w:rsidR="00F92F4C" w:rsidRDefault="00756279">
      <w:pPr>
        <w:pStyle w:val="TOC1"/>
        <w:tabs>
          <w:tab w:val="right" w:leader="dot" w:pos="8312"/>
        </w:tabs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12994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六、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交易数据累积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_Toc12994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5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562E546F" w14:textId="12A4430B" w:rsidR="00F92F4C" w:rsidRDefault="00756279">
      <w:pPr>
        <w:pStyle w:val="TOC2"/>
        <w:tabs>
          <w:tab w:val="right" w:leader="dot" w:pos="8312"/>
        </w:tabs>
        <w:ind w:left="420"/>
        <w:rPr>
          <w:rFonts w:ascii="仿宋_GB2312" w:eastAsia="仿宋_GB2312" w:hAnsi="仿宋_GB2312" w:cs="仿宋_GB2312"/>
          <w:noProof/>
          <w:sz w:val="32"/>
          <w:szCs w:val="32"/>
        </w:rPr>
      </w:pPr>
      <w:hyperlink w:anchor="_Toc22561" w:history="1"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6.1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>、</w:t>
        </w:r>
        <w:r>
          <w:rPr>
            <w:rFonts w:ascii="仿宋_GB2312" w:eastAsia="仿宋_GB2312" w:hAnsi="仿宋_GB2312" w:cs="仿宋_GB2312" w:hint="eastAsia"/>
            <w:bCs/>
            <w:noProof/>
            <w:sz w:val="32"/>
            <w:szCs w:val="32"/>
          </w:rPr>
          <w:t xml:space="preserve"> 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>字段含义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tab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begin"/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instrText xml:space="preserve"> PAGEREF _Toc22561 </w:instrTex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separate"/>
        </w:r>
        <w:r w:rsidR="00D22F82">
          <w:rPr>
            <w:rFonts w:ascii="仿宋_GB2312" w:eastAsia="仿宋_GB2312" w:hAnsi="仿宋_GB2312" w:cs="仿宋_GB2312"/>
            <w:noProof/>
            <w:sz w:val="32"/>
            <w:szCs w:val="32"/>
          </w:rPr>
          <w:t>6</w:t>
        </w:r>
        <w:r>
          <w:rPr>
            <w:rFonts w:ascii="仿宋_GB2312" w:eastAsia="仿宋_GB2312" w:hAnsi="仿宋_GB2312" w:cs="仿宋_GB2312" w:hint="eastAsia"/>
            <w:noProof/>
            <w:sz w:val="32"/>
            <w:szCs w:val="32"/>
          </w:rPr>
          <w:fldChar w:fldCharType="end"/>
        </w:r>
      </w:hyperlink>
    </w:p>
    <w:p w14:paraId="4A6A09C1" w14:textId="77777777" w:rsidR="00F92F4C" w:rsidRDefault="00756279">
      <w:pPr>
        <w:ind w:firstLineChars="0" w:firstLine="0"/>
        <w:rPr>
          <w:rFonts w:ascii="仿宋_GB2312" w:eastAsia="仿宋_GB2312" w:hAnsi="仿宋_GB2312" w:cs="仿宋_GB2312"/>
          <w:sz w:val="32"/>
          <w:szCs w:val="32"/>
        </w:rPr>
        <w:sectPr w:rsidR="00F92F4C">
          <w:footerReference w:type="default" r:id="rId15"/>
          <w:footerReference w:type="first" r:id="rId16"/>
          <w:pgSz w:w="11906" w:h="16838"/>
          <w:pgMar w:top="1440" w:right="1797" w:bottom="1440" w:left="1797" w:header="567" w:footer="624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61050C60" w14:textId="77777777" w:rsidR="00F92F4C" w:rsidRDefault="00756279">
      <w:pPr>
        <w:pStyle w:val="1"/>
        <w:rPr>
          <w:rFonts w:ascii="仿宋_GB2312" w:eastAsia="仿宋_GB2312" w:hAnsi="仿宋_GB2312" w:cs="仿宋_GB2312"/>
          <w:sz w:val="32"/>
          <w:szCs w:val="32"/>
        </w:rPr>
      </w:pPr>
      <w:bookmarkStart w:id="0" w:name="_Toc8116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开标数据统计</w:t>
      </w:r>
      <w:bookmarkEnd w:id="0"/>
    </w:p>
    <w:p w14:paraId="19B8A1DC" w14:textId="77777777" w:rsidR="00F92F4C" w:rsidRDefault="00756279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用于统计交易系统各个年度的交易数据。</w:t>
      </w:r>
    </w:p>
    <w:p w14:paraId="5B262660" w14:textId="77777777" w:rsidR="00F92F4C" w:rsidRDefault="00756279">
      <w:pPr>
        <w:pStyle w:val="2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592DC256" wp14:editId="4B853595">
            <wp:extent cx="5746750" cy="3039745"/>
            <wp:effectExtent l="0" t="0" r="635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0637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1" w:name="_Toc16050"/>
      <w:r>
        <w:rPr>
          <w:rFonts w:ascii="仿宋_GB2312" w:eastAsia="仿宋_GB2312" w:hAnsi="仿宋_GB2312" w:cs="仿宋_GB2312" w:hint="eastAsia"/>
          <w:szCs w:val="32"/>
        </w:rPr>
        <w:t>字段含义</w:t>
      </w:r>
      <w:bookmarkEnd w:id="1"/>
    </w:p>
    <w:p w14:paraId="134A67EA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维度：以辖区为维度，进行基本的数据统计。</w:t>
      </w:r>
    </w:p>
    <w:p w14:paraId="2881401F" w14:textId="77777777" w:rsidR="00F92F4C" w:rsidRDefault="00756279">
      <w:pPr>
        <w:pStyle w:val="20"/>
        <w:ind w:firstLineChars="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基准单位：以周为最小单位，统计每个辖区的每周的数量。</w:t>
      </w:r>
    </w:p>
    <w:p w14:paraId="01859D03" w14:textId="77777777" w:rsidR="00F92F4C" w:rsidRDefault="00756279">
      <w:pPr>
        <w:pStyle w:val="20"/>
        <w:ind w:firstLineChars="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环比：表示连续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个统计周期内的量的变化比。</w:t>
      </w:r>
    </w:p>
    <w:p w14:paraId="7DE534F5" w14:textId="77777777" w:rsidR="00F92F4C" w:rsidRDefault="00756279">
      <w:pPr>
        <w:pStyle w:val="1"/>
        <w:rPr>
          <w:rFonts w:ascii="仿宋_GB2312" w:eastAsia="仿宋_GB2312" w:hAnsi="仿宋_GB2312" w:cs="仿宋_GB2312"/>
          <w:sz w:val="32"/>
          <w:szCs w:val="32"/>
        </w:rPr>
      </w:pPr>
      <w:bookmarkStart w:id="2" w:name="_Toc32043"/>
      <w:r>
        <w:rPr>
          <w:rFonts w:ascii="仿宋_GB2312" w:eastAsia="仿宋_GB2312" w:hAnsi="仿宋_GB2312" w:cs="仿宋_GB2312" w:hint="eastAsia"/>
          <w:sz w:val="32"/>
          <w:szCs w:val="32"/>
        </w:rPr>
        <w:t>电子招标文件制作统计</w:t>
      </w:r>
      <w:bookmarkEnd w:id="2"/>
    </w:p>
    <w:p w14:paraId="5D2D9609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用于电子招标制作文件的统计。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506574E3" wp14:editId="5F42078C">
            <wp:extent cx="5398770" cy="2777490"/>
            <wp:effectExtent l="0" t="0" r="11430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C664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3" w:name="_Toc2838"/>
      <w:r>
        <w:rPr>
          <w:rFonts w:ascii="仿宋_GB2312" w:eastAsia="仿宋_GB2312" w:hAnsi="仿宋_GB2312" w:cs="仿宋_GB2312" w:hint="eastAsia"/>
          <w:szCs w:val="32"/>
        </w:rPr>
        <w:t>字段含义</w:t>
      </w:r>
      <w:bookmarkEnd w:id="3"/>
    </w:p>
    <w:p w14:paraId="4884AC1D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维度：以范本类型为维度，进行基本的数据统计。</w:t>
      </w:r>
    </w:p>
    <w:p w14:paraId="24CBC0CF" w14:textId="77777777" w:rsidR="00F92F4C" w:rsidRDefault="00756279">
      <w:pPr>
        <w:pStyle w:val="20"/>
        <w:ind w:firstLineChars="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基准单位：以周为最小单位，统计每个辖区的每周的数量。</w:t>
      </w:r>
    </w:p>
    <w:p w14:paraId="37B08ABC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环比：表示连续两个统计周期内的量的变化比。</w:t>
      </w:r>
    </w:p>
    <w:p w14:paraId="0AC7175B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2D7B55C" w14:textId="77777777" w:rsidR="00F92F4C" w:rsidRDefault="00756279">
      <w:pPr>
        <w:pStyle w:val="1"/>
        <w:spacing w:before="120" w:after="120" w:line="360" w:lineRule="auto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4" w:name="_Toc29249"/>
      <w:r>
        <w:rPr>
          <w:rFonts w:ascii="仿宋_GB2312" w:eastAsia="仿宋_GB2312" w:hAnsi="仿宋_GB2312" w:cs="仿宋_GB2312" w:hint="eastAsia"/>
          <w:sz w:val="32"/>
          <w:szCs w:val="32"/>
        </w:rPr>
        <w:t>异常数据</w:t>
      </w:r>
      <w:bookmarkEnd w:id="4"/>
    </w:p>
    <w:p w14:paraId="78553FD8" w14:textId="77777777" w:rsidR="00F92F4C" w:rsidRDefault="00756279">
      <w:pPr>
        <w:pStyle w:val="2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展示异常标段的基本信息，当前处理状态和处理人信息。并且能够处理异常信息标段。</w:t>
      </w:r>
    </w:p>
    <w:p w14:paraId="797F2EDC" w14:textId="77777777" w:rsidR="00F92F4C" w:rsidRDefault="00756279">
      <w:pPr>
        <w:pStyle w:val="2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032872F6" wp14:editId="41CEE676">
            <wp:extent cx="5264785" cy="1517650"/>
            <wp:effectExtent l="0" t="0" r="12065" b="635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B59F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5" w:name="_Toc812"/>
      <w:r>
        <w:rPr>
          <w:rFonts w:ascii="仿宋_GB2312" w:eastAsia="仿宋_GB2312" w:hAnsi="仿宋_GB2312" w:cs="仿宋_GB2312" w:hint="eastAsia"/>
          <w:szCs w:val="32"/>
        </w:rPr>
        <w:lastRenderedPageBreak/>
        <w:t>字段含义</w:t>
      </w:r>
      <w:bookmarkEnd w:id="5"/>
    </w:p>
    <w:p w14:paraId="6A854670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异常数据项：能够够快速定位预算价、第一候选人投标价、中标价的类型项目。</w:t>
      </w:r>
    </w:p>
    <w:p w14:paraId="15EC20F0" w14:textId="77777777" w:rsidR="00F92F4C" w:rsidRDefault="00756279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处理状态：能够快速定位不同处理状态的类型项目。</w:t>
      </w:r>
    </w:p>
    <w:p w14:paraId="1EB86065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6" w:name="_Toc20892"/>
      <w:r>
        <w:rPr>
          <w:rFonts w:ascii="仿宋_GB2312" w:eastAsia="仿宋_GB2312" w:hAnsi="仿宋_GB2312" w:cs="仿宋_GB2312" w:hint="eastAsia"/>
          <w:szCs w:val="32"/>
        </w:rPr>
        <w:t>处理操作</w:t>
      </w:r>
      <w:bookmarkEnd w:id="6"/>
    </w:p>
    <w:p w14:paraId="2256C7ED" w14:textId="77777777" w:rsidR="00F92F4C" w:rsidRDefault="00756279">
      <w:pPr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点击“操作”按钮，进入如下页面：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396C2552" wp14:editId="04E08D37">
            <wp:extent cx="5252720" cy="2501265"/>
            <wp:effectExtent l="0" t="0" r="5080" b="1333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0A2A4" w14:textId="77777777" w:rsidR="00F92F4C" w:rsidRDefault="00756279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确认标段信息无问题之后，点击“确认无异常”。若存在异常价格进行价格修改之后并点击“确认修改”按钮。点击“信息查看”按钮，展示该标段各个报价信息，如下图：</w:t>
      </w:r>
    </w:p>
    <w:p w14:paraId="28AC5BB9" w14:textId="77777777" w:rsidR="00F92F4C" w:rsidRDefault="00756279">
      <w:pPr>
        <w:pStyle w:val="20"/>
        <w:spacing w:line="240" w:lineRule="auto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359622F7" wp14:editId="5BC8291B">
            <wp:extent cx="5225415" cy="2032000"/>
            <wp:effectExtent l="0" t="0" r="13335" b="635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A2A4" w14:textId="77777777" w:rsidR="00F92F4C" w:rsidRDefault="00F92F4C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2377700" w14:textId="77777777" w:rsidR="00F92F4C" w:rsidRDefault="00756279">
      <w:pPr>
        <w:pStyle w:val="1"/>
        <w:spacing w:before="120" w:after="120" w:line="360" w:lineRule="auto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7" w:name="_Toc9576"/>
      <w:r>
        <w:rPr>
          <w:rFonts w:ascii="仿宋_GB2312" w:eastAsia="仿宋_GB2312" w:hAnsi="仿宋_GB2312" w:cs="仿宋_GB2312" w:hint="eastAsia"/>
          <w:sz w:val="32"/>
          <w:szCs w:val="32"/>
        </w:rPr>
        <w:t>交易数据展示</w:t>
      </w:r>
      <w:bookmarkEnd w:id="7"/>
    </w:p>
    <w:p w14:paraId="74DCF391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展示各个交易项目的标段的基本信息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。</w:t>
      </w:r>
    </w:p>
    <w:p w14:paraId="5B790732" w14:textId="77777777" w:rsidR="00F92F4C" w:rsidRDefault="00756279">
      <w:pPr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28DDE6AC" wp14:editId="63E7239B">
            <wp:extent cx="5137785" cy="1962785"/>
            <wp:effectExtent l="0" t="0" r="5715" b="1841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FD61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8" w:name="_Toc25756"/>
      <w:r>
        <w:rPr>
          <w:rFonts w:ascii="仿宋_GB2312" w:eastAsia="仿宋_GB2312" w:hAnsi="仿宋_GB2312" w:cs="仿宋_GB2312" w:hint="eastAsia"/>
          <w:szCs w:val="32"/>
        </w:rPr>
        <w:t>字段含义</w:t>
      </w:r>
      <w:bookmarkEnd w:id="8"/>
    </w:p>
    <w:p w14:paraId="5FA64183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维度：以标段类型为维度，进行基本的数据统计。</w:t>
      </w:r>
    </w:p>
    <w:p w14:paraId="082C1F2D" w14:textId="77777777" w:rsidR="00F92F4C" w:rsidRDefault="00756279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重置交易数据：该按钮用于刷新最新标段信息。</w:t>
      </w:r>
    </w:p>
    <w:p w14:paraId="1FB4B9FF" w14:textId="77777777" w:rsidR="00F92F4C" w:rsidRDefault="00756279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导出</w:t>
      </w:r>
      <w:r>
        <w:rPr>
          <w:rFonts w:ascii="仿宋_GB2312" w:eastAsia="仿宋_GB2312" w:hAnsi="仿宋_GB2312" w:cs="仿宋_GB2312" w:hint="eastAsia"/>
          <w:sz w:val="32"/>
          <w:szCs w:val="32"/>
        </w:rPr>
        <w:t>Excel</w:t>
      </w:r>
      <w:r>
        <w:rPr>
          <w:rFonts w:ascii="仿宋_GB2312" w:eastAsia="仿宋_GB2312" w:hAnsi="仿宋_GB2312" w:cs="仿宋_GB2312" w:hint="eastAsia"/>
          <w:sz w:val="32"/>
          <w:szCs w:val="32"/>
        </w:rPr>
        <w:t>：主要用于导出标段的基本信息至本地。</w:t>
      </w:r>
    </w:p>
    <w:p w14:paraId="73502B66" w14:textId="77777777" w:rsidR="00F92F4C" w:rsidRDefault="00F92F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9DD7FF" w14:textId="77777777" w:rsidR="00F92F4C" w:rsidRDefault="00756279">
      <w:pPr>
        <w:pStyle w:val="1"/>
        <w:spacing w:before="120" w:after="120" w:line="360" w:lineRule="auto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9" w:name="_Toc20329"/>
      <w:r>
        <w:rPr>
          <w:rFonts w:ascii="仿宋_GB2312" w:eastAsia="仿宋_GB2312" w:hAnsi="仿宋_GB2312" w:cs="仿宋_GB2312" w:hint="eastAsia"/>
          <w:sz w:val="32"/>
          <w:szCs w:val="32"/>
        </w:rPr>
        <w:t>中标区间统计</w:t>
      </w:r>
      <w:bookmarkEnd w:id="9"/>
    </w:p>
    <w:p w14:paraId="737439DC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用于统计每个类型交易的中标金额的分布以及总数量。</w:t>
      </w:r>
    </w:p>
    <w:p w14:paraId="4CDCA029" w14:textId="77777777" w:rsidR="00F92F4C" w:rsidRDefault="00756279">
      <w:pPr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354DEA52" wp14:editId="09230CAE">
            <wp:extent cx="5267960" cy="2559050"/>
            <wp:effectExtent l="0" t="0" r="8890" b="1270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2CD2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10" w:name="_Toc19772"/>
      <w:r>
        <w:rPr>
          <w:rFonts w:ascii="仿宋_GB2312" w:eastAsia="仿宋_GB2312" w:hAnsi="仿宋_GB2312" w:cs="仿宋_GB2312" w:hint="eastAsia"/>
          <w:szCs w:val="32"/>
        </w:rPr>
        <w:t>字段含义</w:t>
      </w:r>
      <w:bookmarkEnd w:id="10"/>
    </w:p>
    <w:p w14:paraId="60394BA7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维度：以交易类型为维度，进行基本的数据统计。</w:t>
      </w:r>
    </w:p>
    <w:p w14:paraId="11183DEE" w14:textId="77777777" w:rsidR="00F92F4C" w:rsidRDefault="00756279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柱状图：能够直观的对比每个区间的交易类型数量。</w:t>
      </w:r>
    </w:p>
    <w:p w14:paraId="6A0C9B64" w14:textId="77777777" w:rsidR="00F92F4C" w:rsidRDefault="00756279">
      <w:pPr>
        <w:pStyle w:val="1"/>
        <w:spacing w:before="120" w:after="120" w:line="360" w:lineRule="auto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11" w:name="_Toc12994"/>
      <w:r>
        <w:rPr>
          <w:rFonts w:ascii="仿宋_GB2312" w:eastAsia="仿宋_GB2312" w:hAnsi="仿宋_GB2312" w:cs="仿宋_GB2312" w:hint="eastAsia"/>
          <w:sz w:val="32"/>
          <w:szCs w:val="32"/>
        </w:rPr>
        <w:t>交易数据累积</w:t>
      </w:r>
      <w:bookmarkEnd w:id="11"/>
    </w:p>
    <w:p w14:paraId="00B2338F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基本功能：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用于统计不同辖区的交易数量以及金额。</w:t>
      </w:r>
    </w:p>
    <w:p w14:paraId="4F709B76" w14:textId="77777777" w:rsidR="00F92F4C" w:rsidRDefault="00756279">
      <w:pPr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20AA2E3A" wp14:editId="3BBC37B2">
            <wp:extent cx="5268595" cy="3049270"/>
            <wp:effectExtent l="0" t="0" r="8255" b="1778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8E5A5" w14:textId="77777777" w:rsidR="00F92F4C" w:rsidRDefault="00756279">
      <w:pPr>
        <w:pStyle w:val="2"/>
        <w:rPr>
          <w:rFonts w:ascii="仿宋_GB2312" w:eastAsia="仿宋_GB2312" w:hAnsi="仿宋_GB2312" w:cs="仿宋_GB2312"/>
          <w:szCs w:val="32"/>
        </w:rPr>
      </w:pPr>
      <w:bookmarkStart w:id="12" w:name="_Toc22561"/>
      <w:r>
        <w:rPr>
          <w:rFonts w:ascii="仿宋_GB2312" w:eastAsia="仿宋_GB2312" w:hAnsi="仿宋_GB2312" w:cs="仿宋_GB2312" w:hint="eastAsia"/>
          <w:szCs w:val="32"/>
        </w:rPr>
        <w:lastRenderedPageBreak/>
        <w:t>字段含义</w:t>
      </w:r>
      <w:bookmarkEnd w:id="12"/>
    </w:p>
    <w:p w14:paraId="265EBFD6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维度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以辖区为维度，进行基本的数据统计。</w:t>
      </w:r>
    </w:p>
    <w:p w14:paraId="1BF246DE" w14:textId="77777777" w:rsidR="00F92F4C" w:rsidRDefault="0075627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搜索条件：用于查询电子标、远程异地评标不同类型交易数据。</w:t>
      </w:r>
    </w:p>
    <w:p w14:paraId="3895691F" w14:textId="77777777" w:rsidR="00F92F4C" w:rsidRDefault="00F92F4C">
      <w:pPr>
        <w:pStyle w:val="2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6EEA61F" w14:textId="77777777" w:rsidR="00F92F4C" w:rsidRDefault="00F92F4C">
      <w:pPr>
        <w:pStyle w:val="20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C67E7A1" w14:textId="77777777" w:rsidR="00F92F4C" w:rsidRDefault="00F92F4C">
      <w:pPr>
        <w:pStyle w:val="20"/>
        <w:ind w:firstLineChars="0" w:firstLine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F92F4C">
      <w:footerReference w:type="default" r:id="rId25"/>
      <w:pgSz w:w="11906" w:h="16838"/>
      <w:pgMar w:top="1440" w:right="1800" w:bottom="1440" w:left="1800" w:header="567" w:footer="62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EC3AF" w14:textId="77777777" w:rsidR="00756279" w:rsidRDefault="00756279">
      <w:pPr>
        <w:spacing w:line="240" w:lineRule="auto"/>
        <w:ind w:firstLine="420"/>
      </w:pPr>
      <w:r>
        <w:separator/>
      </w:r>
    </w:p>
  </w:endnote>
  <w:endnote w:type="continuationSeparator" w:id="0">
    <w:p w14:paraId="2DBB2A2C" w14:textId="77777777" w:rsidR="00756279" w:rsidRDefault="0075627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宋体 CN ExtraLight">
    <w:altName w:val="宋体"/>
    <w:charset w:val="86"/>
    <w:family w:val="roman"/>
    <w:pitch w:val="default"/>
    <w:sig w:usb0="20000083" w:usb1="2ADF3C10" w:usb2="00000016" w:usb3="00000000" w:csb0="6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Light">
    <w:altName w:val="黑体"/>
    <w:charset w:val="86"/>
    <w:family w:val="swiss"/>
    <w:pitch w:val="default"/>
    <w:sig w:usb0="20000003" w:usb1="2ADF3C10" w:usb2="00000016" w:usb3="00000000" w:csb0="6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思源宋体 CN Light">
    <w:altName w:val="宋体"/>
    <w:charset w:val="86"/>
    <w:family w:val="roman"/>
    <w:pitch w:val="default"/>
    <w:sig w:usb0="20000083" w:usb1="2ADF3C1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E7C7" w14:textId="77777777" w:rsidR="00761A0C" w:rsidRDefault="00761A0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01E01" w14:textId="77777777" w:rsidR="00F92F4C" w:rsidRDefault="00756279">
    <w:pPr>
      <w:pBdr>
        <w:top w:val="single" w:sz="24" w:space="5" w:color="9BBB59"/>
      </w:pBdr>
      <w:wordWrap w:val="0"/>
      <w:snapToGrid w:val="0"/>
      <w:spacing w:line="240" w:lineRule="auto"/>
      <w:ind w:firstLineChars="0" w:firstLine="0"/>
      <w:jc w:val="center"/>
    </w:pPr>
    <w:r>
      <w:rPr>
        <w:rFonts w:ascii="思源宋体 CN Light" w:eastAsia="思源宋体 CN Light" w:hAnsi="思源宋体 CN Light" w:cs="思源宋体 CN Light" w:hint="eastAsia"/>
        <w:sz w:val="18"/>
        <w:szCs w:val="18"/>
      </w:rPr>
      <w:t>国泰新点软件股份有限公司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2345" w14:textId="77777777" w:rsidR="00F92F4C" w:rsidRDefault="00F92F4C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D83E4" w14:textId="77777777" w:rsidR="00F92F4C" w:rsidRDefault="00F92F4C">
    <w:pPr>
      <w:pStyle w:val="a7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CD050" w14:textId="77777777" w:rsidR="00F92F4C" w:rsidRDefault="00756279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B1969" wp14:editId="650AA8A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6" name="文本框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DBC3C" w14:textId="77777777" w:rsidR="00F92F4C" w:rsidRDefault="00756279">
                          <w:pPr>
                            <w:pStyle w:val="a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1969" id="_x0000_t202" coordsize="21600,21600" o:spt="202" path="m,l,21600r21600,l21600,xe">
              <v:stroke joinstyle="miter"/>
              <v:path gradientshapeok="t" o:connecttype="rect"/>
            </v:shapetype>
            <v:shape id="文本框 24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JnYwIAAA4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HimiZ2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7C6DBC3C" w14:textId="77777777" w:rsidR="00F92F4C" w:rsidRDefault="00756279">
                    <w:pPr>
                      <w:pStyle w:val="a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459C" w14:textId="77777777" w:rsidR="00F92F4C" w:rsidRDefault="00756279">
    <w:pPr>
      <w:pBdr>
        <w:top w:val="single" w:sz="24" w:space="5" w:color="9BBB59"/>
      </w:pBdr>
      <w:wordWrap w:val="0"/>
      <w:snapToGrid w:val="0"/>
      <w:spacing w:line="240" w:lineRule="auto"/>
      <w:ind w:firstLineChars="0" w:firstLine="0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53B3A" wp14:editId="2EEE062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1" name="文本框 7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33634" w14:textId="77777777" w:rsidR="00F92F4C" w:rsidRDefault="00756279">
                          <w:pPr>
                            <w:pStyle w:val="a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53B3A" id="_x0000_t202" coordsize="21600,21600" o:spt="202" path="m,l,21600r21600,l21600,xe">
              <v:stroke joinstyle="miter"/>
              <v:path gradientshapeok="t" o:connecttype="rect"/>
            </v:shapetype>
            <v:shape id="文本框 70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tYZpkAgAAF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CB33634" w14:textId="77777777" w:rsidR="00F92F4C" w:rsidRDefault="00756279">
                    <w:pPr>
                      <w:pStyle w:val="a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/</w:t>
                    </w:r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31D67" w14:textId="77777777" w:rsidR="00756279" w:rsidRDefault="00756279">
      <w:pPr>
        <w:spacing w:line="240" w:lineRule="auto"/>
        <w:ind w:firstLine="420"/>
      </w:pPr>
      <w:r>
        <w:separator/>
      </w:r>
    </w:p>
  </w:footnote>
  <w:footnote w:type="continuationSeparator" w:id="0">
    <w:p w14:paraId="5B933EC2" w14:textId="77777777" w:rsidR="00756279" w:rsidRDefault="0075627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39CF" w14:textId="77777777" w:rsidR="00761A0C" w:rsidRDefault="00761A0C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C1FF8" w14:textId="77777777" w:rsidR="00F92F4C" w:rsidRDefault="00756279">
    <w:pPr>
      <w:pBdr>
        <w:bottom w:val="thickThinSmallGap" w:sz="24" w:space="1" w:color="622423"/>
      </w:pBdr>
      <w:snapToGrid w:val="0"/>
      <w:spacing w:line="240" w:lineRule="auto"/>
      <w:ind w:firstLineChars="0" w:firstLine="0"/>
    </w:pPr>
    <w:r>
      <w:rPr>
        <w:rFonts w:ascii="思源宋体 CN Light" w:eastAsia="思源宋体 CN Light" w:hAnsi="思源宋体 CN Light" w:cs="思源宋体 CN Light" w:hint="eastAsia"/>
        <w:sz w:val="18"/>
        <w:szCs w:val="18"/>
      </w:rPr>
      <w:t>青海省</w:t>
    </w:r>
    <w:r>
      <w:rPr>
        <w:rFonts w:ascii="思源宋体 CN Light" w:eastAsia="思源宋体 CN Light" w:hAnsi="思源宋体 CN Light" w:cs="思源宋体 CN Light" w:hint="eastAsia"/>
        <w:sz w:val="18"/>
        <w:szCs w:val="18"/>
      </w:rPr>
      <w:t>公共资源交易平台</w:t>
    </w:r>
    <w:r>
      <w:rPr>
        <w:rFonts w:ascii="思源宋体 CN Light" w:eastAsia="思源宋体 CN Light" w:hAnsi="思源宋体 CN Light" w:cs="思源宋体 CN Light" w:hint="eastAsia"/>
        <w:sz w:val="18"/>
        <w:szCs w:val="18"/>
      </w:rPr>
      <w:t>工作人员数据统计</w:t>
    </w:r>
    <w:r>
      <w:rPr>
        <w:rFonts w:ascii="思源宋体 CN Light" w:eastAsia="思源宋体 CN Light" w:hAnsi="思源宋体 CN Light" w:cs="思源宋体 CN Light" w:hint="eastAsia"/>
        <w:sz w:val="18"/>
        <w:szCs w:val="18"/>
      </w:rPr>
      <w:t>操作手册</w:t>
    </w:r>
    <w:r>
      <w:rPr>
        <w:rFonts w:ascii="思源宋体 CN Light" w:eastAsia="思源宋体 CN Light" w:hAnsi="思源宋体 CN Light" w:cs="思源宋体 CN Light" w:hint="eastAsia"/>
        <w:sz w:val="18"/>
        <w:szCs w:val="18"/>
      </w:rPr>
      <w:t xml:space="preserve">    </w:t>
    </w:r>
    <w:r>
      <w:rPr>
        <w:rFonts w:ascii="宋体" w:eastAsia="思源宋体 CN Light" w:hAnsi="宋体" w:cs="思源宋体 CN Light" w:hint="eastAsia"/>
        <w:sz w:val="18"/>
        <w:szCs w:val="18"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F6FD" w14:textId="77777777" w:rsidR="00761A0C" w:rsidRDefault="00761A0C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CFF892"/>
    <w:multiLevelType w:val="multilevel"/>
    <w:tmpl w:val="9ECFF89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  <w:bCs/>
        <w:sz w:val="32"/>
        <w:szCs w:val="32"/>
        <w:lang w:val="en-US"/>
      </w:rPr>
    </w:lvl>
    <w:lvl w:ilvl="1">
      <w:start w:val="1"/>
      <w:numFmt w:val="decimal"/>
      <w:isLgl/>
      <w:suff w:val="nothing"/>
      <w:lvlText w:val="%1.%2、"/>
      <w:lvlJc w:val="left"/>
      <w:pPr>
        <w:ind w:left="0" w:firstLine="0"/>
      </w:pPr>
      <w:rPr>
        <w:rFonts w:ascii="宋体" w:eastAsia="宋体" w:hAnsi="宋体" w:cs="宋体" w:hint="eastAsia"/>
        <w:b/>
        <w:bCs/>
        <w:color w:val="auto"/>
        <w:sz w:val="30"/>
        <w:szCs w:val="30"/>
      </w:rPr>
    </w:lvl>
    <w:lvl w:ilvl="2">
      <w:start w:val="1"/>
      <w:numFmt w:val="decimal"/>
      <w:isLgl/>
      <w:suff w:val="nothing"/>
      <w:lvlText w:val="%1.%2.%3、"/>
      <w:lvlJc w:val="left"/>
      <w:pPr>
        <w:ind w:left="0" w:firstLine="0"/>
      </w:pPr>
      <w:rPr>
        <w:rFonts w:ascii="宋体" w:eastAsia="思源宋体 CN ExtraLight" w:hAnsi="宋体" w:cs="思源宋体 CN ExtraLight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isLgl/>
      <w:suff w:val="nothing"/>
      <w:lvlText w:val="%1.%2.%3.%4、"/>
      <w:lvlJc w:val="left"/>
      <w:pPr>
        <w:ind w:left="0" w:firstLine="0"/>
      </w:pPr>
      <w:rPr>
        <w:rFonts w:ascii="宋体" w:eastAsia="思源宋体 CN ExtraLight" w:hAnsi="宋体" w:cs="思源宋体 CN ExtraLight" w:hint="eastAsia"/>
        <w:b/>
        <w:bCs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100"/>
        <w:kern w:val="0"/>
        <w:positio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isLgl/>
      <w:suff w:val="nothing"/>
      <w:lvlText w:val="%1.%2.%3.%4.%5.%6、"/>
      <w:lvlJc w:val="left"/>
      <w:pPr>
        <w:ind w:left="1134" w:hanging="1134"/>
      </w:pPr>
      <w:rPr>
        <w:rFonts w:ascii="Times New Roman" w:hAnsi="Times New Roman" w:cs="思源黑体 CN Light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abstractNum w:abstractNumId="1" w15:restartNumberingAfterBreak="0">
    <w:nsid w:val="360CBCFC"/>
    <w:multiLevelType w:val="multilevel"/>
    <w:tmpl w:val="360CBCFC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思源宋体 CN ExtraLight" w:hAnsi="宋体" w:cs="思源宋体 CN ExtraLight" w:hint="eastAsia"/>
        <w:b/>
        <w:bCs/>
        <w:sz w:val="32"/>
        <w:szCs w:val="32"/>
        <w:lang w:val="en-US"/>
      </w:rPr>
    </w:lvl>
    <w:lvl w:ilvl="1">
      <w:start w:val="1"/>
      <w:numFmt w:val="decimal"/>
      <w:pStyle w:val="2"/>
      <w:isLgl/>
      <w:suff w:val="nothing"/>
      <w:lvlText w:val="%1.%2、"/>
      <w:lvlJc w:val="left"/>
      <w:pPr>
        <w:ind w:left="0" w:firstLine="0"/>
      </w:pPr>
      <w:rPr>
        <w:rFonts w:ascii="宋体" w:eastAsia="思源宋体 CN ExtraLight" w:hAnsi="宋体" w:cs="思源宋体 CN ExtraLight" w:hint="eastAsia"/>
        <w:b/>
        <w:bCs/>
        <w:color w:val="auto"/>
        <w:sz w:val="30"/>
        <w:szCs w:val="30"/>
      </w:rPr>
    </w:lvl>
    <w:lvl w:ilvl="2">
      <w:start w:val="1"/>
      <w:numFmt w:val="decimal"/>
      <w:pStyle w:val="3"/>
      <w:isLgl/>
      <w:suff w:val="nothing"/>
      <w:lvlText w:val="%1.%2.%3、"/>
      <w:lvlJc w:val="left"/>
      <w:pPr>
        <w:ind w:left="0" w:firstLine="0"/>
      </w:pPr>
      <w:rPr>
        <w:rFonts w:ascii="宋体" w:eastAsia="思源宋体 CN ExtraLight" w:hAnsi="宋体" w:cs="思源宋体 CN ExtraLight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isLgl/>
      <w:suff w:val="nothing"/>
      <w:lvlText w:val="%1.%2.%3.%4、"/>
      <w:lvlJc w:val="left"/>
      <w:pPr>
        <w:ind w:left="0" w:firstLine="0"/>
      </w:pPr>
      <w:rPr>
        <w:rFonts w:ascii="宋体" w:eastAsia="思源宋体 CN ExtraLight" w:hAnsi="宋体" w:cs="思源宋体 CN ExtraLight" w:hint="eastAsia"/>
        <w:b/>
        <w:bCs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100"/>
        <w:kern w:val="0"/>
        <w:positio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isLgl/>
      <w:suff w:val="nothing"/>
      <w:lvlText w:val="%1.%2.%3.%4.%5.%6、"/>
      <w:lvlJc w:val="left"/>
      <w:pPr>
        <w:ind w:left="1134" w:hanging="1134"/>
      </w:pPr>
      <w:rPr>
        <w:rFonts w:ascii="Times New Roman" w:hAnsi="Times New Roman" w:cs="思源黑体 CN Light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33243A"/>
    <w:rsid w:val="00170B16"/>
    <w:rsid w:val="00201A1D"/>
    <w:rsid w:val="002D3EE1"/>
    <w:rsid w:val="002E326F"/>
    <w:rsid w:val="00357E01"/>
    <w:rsid w:val="00421482"/>
    <w:rsid w:val="00443D69"/>
    <w:rsid w:val="00446AE5"/>
    <w:rsid w:val="00484397"/>
    <w:rsid w:val="00510698"/>
    <w:rsid w:val="00624D47"/>
    <w:rsid w:val="00667125"/>
    <w:rsid w:val="006B367F"/>
    <w:rsid w:val="007369E4"/>
    <w:rsid w:val="00756279"/>
    <w:rsid w:val="00761A0C"/>
    <w:rsid w:val="00794E76"/>
    <w:rsid w:val="007A44B2"/>
    <w:rsid w:val="008B012C"/>
    <w:rsid w:val="00914A7F"/>
    <w:rsid w:val="00972410"/>
    <w:rsid w:val="00AE1929"/>
    <w:rsid w:val="00AF5125"/>
    <w:rsid w:val="00B17716"/>
    <w:rsid w:val="00C14943"/>
    <w:rsid w:val="00C82340"/>
    <w:rsid w:val="00CB0B3C"/>
    <w:rsid w:val="00D0750F"/>
    <w:rsid w:val="00D22F82"/>
    <w:rsid w:val="00D26484"/>
    <w:rsid w:val="00E65FE5"/>
    <w:rsid w:val="00F51B9B"/>
    <w:rsid w:val="00F67491"/>
    <w:rsid w:val="00F92F4C"/>
    <w:rsid w:val="06BA1C96"/>
    <w:rsid w:val="07CD1A12"/>
    <w:rsid w:val="088F78C4"/>
    <w:rsid w:val="0D806411"/>
    <w:rsid w:val="0DEE0E36"/>
    <w:rsid w:val="0FDD361E"/>
    <w:rsid w:val="170E6AC2"/>
    <w:rsid w:val="17B81098"/>
    <w:rsid w:val="18737571"/>
    <w:rsid w:val="21C43344"/>
    <w:rsid w:val="22153735"/>
    <w:rsid w:val="22CE3C5F"/>
    <w:rsid w:val="23EF4FA8"/>
    <w:rsid w:val="29491B6C"/>
    <w:rsid w:val="2B156F9A"/>
    <w:rsid w:val="2BA47EDF"/>
    <w:rsid w:val="2E693E30"/>
    <w:rsid w:val="35076F7F"/>
    <w:rsid w:val="37B10831"/>
    <w:rsid w:val="392104A2"/>
    <w:rsid w:val="39240A54"/>
    <w:rsid w:val="427C412E"/>
    <w:rsid w:val="447647D8"/>
    <w:rsid w:val="4A910540"/>
    <w:rsid w:val="4D2B50D8"/>
    <w:rsid w:val="54556A7D"/>
    <w:rsid w:val="559A17BD"/>
    <w:rsid w:val="5C33243A"/>
    <w:rsid w:val="62407F84"/>
    <w:rsid w:val="6913285B"/>
    <w:rsid w:val="6A0A5199"/>
    <w:rsid w:val="6FCA0189"/>
    <w:rsid w:val="70F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28EDB"/>
  <w15:docId w15:val="{4CBFDFB0-1311-4C1E-A7BD-DAB6D76E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spacing w:line="360" w:lineRule="auto"/>
      <w:ind w:firstLineChars="200" w:firstLine="200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numPr>
        <w:numId w:val="1"/>
      </w:numPr>
      <w:spacing w:before="340" w:after="330" w:line="576" w:lineRule="auto"/>
      <w:ind w:firstLine="200"/>
      <w:outlineLvl w:val="0"/>
    </w:pPr>
    <w:rPr>
      <w:b/>
      <w:kern w:val="44"/>
      <w:sz w:val="44"/>
      <w:szCs w:val="24"/>
    </w:rPr>
  </w:style>
  <w:style w:type="paragraph" w:styleId="2">
    <w:name w:val="heading 2"/>
    <w:next w:val="a"/>
    <w:unhideWhenUsed/>
    <w:qFormat/>
    <w:pPr>
      <w:keepNext/>
      <w:keepLines/>
      <w:widowControl w:val="0"/>
      <w:numPr>
        <w:ilvl w:val="1"/>
        <w:numId w:val="1"/>
      </w:numPr>
      <w:spacing w:before="260" w:after="260" w:line="413" w:lineRule="auto"/>
      <w:ind w:firstLine="200"/>
      <w:outlineLvl w:val="1"/>
    </w:pPr>
    <w:rPr>
      <w:rFonts w:ascii="Arial" w:eastAsia="黑体" w:hAnsi="Arial"/>
      <w:b/>
      <w:kern w:val="2"/>
      <w:sz w:val="32"/>
      <w:szCs w:val="24"/>
    </w:rPr>
  </w:style>
  <w:style w:type="paragraph" w:styleId="3">
    <w:name w:val="heading 3"/>
    <w:next w:val="a"/>
    <w:unhideWhenUsed/>
    <w:qFormat/>
    <w:pPr>
      <w:keepNext/>
      <w:keepLines/>
      <w:widowControl w:val="0"/>
      <w:numPr>
        <w:ilvl w:val="2"/>
        <w:numId w:val="1"/>
      </w:numPr>
      <w:spacing w:before="260" w:after="260" w:line="413" w:lineRule="auto"/>
      <w:ind w:firstLine="200"/>
      <w:outlineLvl w:val="2"/>
    </w:pPr>
    <w:rPr>
      <w:b/>
      <w:kern w:val="2"/>
      <w:sz w:val="32"/>
      <w:szCs w:val="24"/>
    </w:rPr>
  </w:style>
  <w:style w:type="paragraph" w:styleId="4">
    <w:name w:val="heading 4"/>
    <w:next w:val="a"/>
    <w:qFormat/>
    <w:pPr>
      <w:keepNext/>
      <w:keepLines/>
      <w:widowControl w:val="0"/>
      <w:numPr>
        <w:ilvl w:val="3"/>
        <w:numId w:val="2"/>
      </w:numPr>
      <w:spacing w:before="120" w:after="120" w:line="360" w:lineRule="auto"/>
      <w:ind w:firstLineChars="200" w:firstLine="200"/>
      <w:outlineLvl w:val="3"/>
    </w:pPr>
    <w:rPr>
      <w:b/>
      <w:bCs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样式 首行缩进:  2 字符"/>
    <w:qFormat/>
    <w:pPr>
      <w:widowControl w:val="0"/>
      <w:spacing w:line="360" w:lineRule="auto"/>
      <w:ind w:firstLineChars="200" w:firstLine="480"/>
    </w:pPr>
    <w:rPr>
      <w:rFonts w:ascii="Calibri" w:hAnsi="Calibri" w:cs="宋体"/>
      <w:color w:val="000000"/>
      <w:kern w:val="2"/>
      <w:sz w:val="21"/>
    </w:rPr>
  </w:style>
  <w:style w:type="paragraph" w:styleId="a3">
    <w:name w:val="annotation text"/>
    <w:basedOn w:val="a"/>
    <w:link w:val="a4"/>
    <w:qFormat/>
  </w:style>
  <w:style w:type="paragraph" w:styleId="TOC3">
    <w:name w:val="toc 3"/>
    <w:basedOn w:val="a"/>
    <w:next w:val="a"/>
    <w:uiPriority w:val="39"/>
    <w:qFormat/>
    <w:pPr>
      <w:spacing w:line="240" w:lineRule="auto"/>
      <w:ind w:leftChars="400" w:left="400" w:firstLineChars="0" w:firstLine="0"/>
    </w:pPr>
    <w:rPr>
      <w:rFonts w:eastAsia="思源宋体 CN ExtraLight"/>
    </w:r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line="240" w:lineRule="auto"/>
      <w:ind w:firstLineChars="0" w:firstLine="0"/>
    </w:pPr>
    <w:rPr>
      <w:rFonts w:eastAsia="思源宋体 CN ExtraLight"/>
    </w:rPr>
  </w:style>
  <w:style w:type="paragraph" w:styleId="TOC2">
    <w:name w:val="toc 2"/>
    <w:basedOn w:val="a"/>
    <w:next w:val="a"/>
    <w:uiPriority w:val="39"/>
    <w:qFormat/>
    <w:pPr>
      <w:spacing w:line="240" w:lineRule="auto"/>
      <w:ind w:leftChars="200" w:left="200" w:firstLineChars="0" w:firstLine="0"/>
    </w:pPr>
    <w:rPr>
      <w:rFonts w:eastAsia="思源宋体 CN ExtraLight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  <w:bdr w:val="single" w:sz="4" w:space="0" w:color="BDBEC1"/>
      <w:shd w:val="clear" w:color="auto" w:fill="FFFFFF"/>
    </w:rPr>
  </w:style>
  <w:style w:type="character" w:styleId="ad">
    <w:name w:val="FollowedHyperlink"/>
    <w:basedOn w:val="a0"/>
    <w:qFormat/>
    <w:rPr>
      <w:color w:val="800080"/>
      <w:u w:val="none"/>
    </w:rPr>
  </w:style>
  <w:style w:type="character" w:styleId="ae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f">
    <w:name w:val="Hyperlink"/>
    <w:basedOn w:val="a0"/>
    <w:uiPriority w:val="99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customStyle="1" w:styleId="IndentNormal">
    <w:name w:val="Indent Normal"/>
    <w:qFormat/>
    <w:pPr>
      <w:widowControl w:val="0"/>
      <w:spacing w:line="360" w:lineRule="auto"/>
      <w:ind w:firstLineChars="150" w:firstLine="150"/>
    </w:pPr>
    <w:rPr>
      <w:kern w:val="2"/>
      <w:sz w:val="24"/>
      <w:szCs w:val="24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</w:rPr>
  </w:style>
  <w:style w:type="character" w:customStyle="1" w:styleId="hover3">
    <w:name w:val="hover3"/>
    <w:basedOn w:val="a0"/>
    <w:qFormat/>
  </w:style>
  <w:style w:type="character" w:customStyle="1" w:styleId="hover">
    <w:name w:val="hover"/>
    <w:basedOn w:val="a0"/>
    <w:qFormat/>
    <w:rPr>
      <w:color w:val="2590EB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  <w:szCs w:val="24"/>
    </w:rPr>
  </w:style>
  <w:style w:type="paragraph" w:customStyle="1" w:styleId="mini-messagebox-msg">
    <w:name w:val="mini-messagebox-msg"/>
    <w:basedOn w:val="a"/>
    <w:qFormat/>
    <w:pPr>
      <w:wordWrap w:val="0"/>
      <w:spacing w:line="288" w:lineRule="atLeast"/>
      <w:ind w:left="1200"/>
    </w:pPr>
    <w:rPr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B1354-5C97-4B36-ACDF-B4039609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啦啦啦</dc:creator>
  <cp:lastModifiedBy>SP</cp:lastModifiedBy>
  <cp:revision>19</cp:revision>
  <dcterms:created xsi:type="dcterms:W3CDTF">2020-09-16T06:00:00Z</dcterms:created>
  <dcterms:modified xsi:type="dcterms:W3CDTF">2021-03-24T08:06:00Z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17650FB01A5E49EDB6202B9D79712E96</vt:lpwstr>
  </property>
</Properties>
</file>