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中华人民共和国招标投标法实施条例</w:t>
      </w: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中华人民共和国国务院令第613号</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第一章 总 则</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为了规范招标投标活动，根据《中华人民共和国招标投标法》（以下简称招标投标法），制定本条例。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招标投标法第三条所称工程建设项目，是指工程以及与工程建设有关的货物、服务。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依法必须进行招标的工程建设项目的具体范围和规模标准，由国务院发展改革部门会同国务院有关部门制订，报国务院批准后公布施行。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 财政部门依法对实行招标投标的政府采购工程建设项目的预算执行情况和政府采购政策执行情况实施监督。 监察机关依法对与招标投标活动有关的监察对象实施监察。 </w:t>
      </w:r>
    </w:p>
    <w:p>
      <w:pPr>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设区的市级以上地方人民政府可以根据实际需要，建立统一规范的招标投标交易场所，为招标投标活动提供服务。招标投标交易场所不得与行政监督部门存在隶属关系，不得以营利为目的。国家鼓励利用信息网络进行电子招标投标。</w:t>
      </w:r>
    </w:p>
    <w:p>
      <w:pPr>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禁止国家工作人员以任何方式非法干涉招标投标活动。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第二章 招 标</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国有资金占控股或者主导地位的依法必须进行招标的项目，应当公开招标；但有下列情形之一的，可以邀请招标：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技术复杂、有特殊要求或者受自然环境限制，只有少量潜在投标人可供选择；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采用公开招标方式的费用占项目合同金额的比例过大。</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有前款第二项所列情形，属于本条例第七条规定的项目，由项目审批、核准部门在审批、核准项目时作出认定；其他项目由招标人申请有关行政监督部门作出认定。 </w:t>
      </w:r>
    </w:p>
    <w:p>
      <w:pPr>
        <w:keepNext w:val="0"/>
        <w:keepLines w:val="0"/>
        <w:pageBreakBefore w:val="0"/>
        <w:widowControl w:val="0"/>
        <w:numPr>
          <w:ilvl w:val="0"/>
          <w:numId w:val="2"/>
        </w:numPr>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除招标投标法第六十六条规定的可以不进行招标的特殊情况外，有下列情形之一的，可以不进行招标：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（一）需要采用不可替代的专利或者专有技术；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采购人依法能够自行建设、生产或者提供；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已通过招标方式选定的特许经营项目投资人依法能够自行建设、生产或者提供；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需要向原中标人采购工程、货物或者服务，否则将影响施工或者功能配套要求；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国家规定的其他特殊情形。 招标人为适用前款规定弄虚作假的，属于招标投标法第四条规定的规避招标。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招标投标法第十二条第二款规定的招标人具有编制招标文件和组织评标能力，是指招标人具有与招标项目规模和复杂程度相适应的技术、经济等方面的专业人员。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国务院住房城乡建设、商务、发展改革、工业和信息化等部门，按照规定的职责分工对招标代理机构依法实施监督管理。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招标代理机构应当拥有一定数量的具备编制招标文件、组织评标等相应能力的专业人员。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招标代理机构在招标人委托的范围内开展招标代理业务，任何单位和个人不得非法干涉。 招标代理机构代理招标业务，应当遵守招标投标法和本条例关于招标人的规定。招标代理机构不得在所代理的招标项目中投标或者代理投标，也不得为所代理的招标项目的投标人提供咨询。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招标人应当与被委托的招标代理机构签订书面委托合同，合同约定的收费标准应当符合国家有关规定。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第十五条 公开招标的项目，应当依照招标投标法和本条例的规定发布招标公告、编制招标文件。 招标人采用资格预审办法对潜在投标人进行资格审查的，应当发布资格预审公告、编制资格预审文件。 依法必须进行招标的项目的资格预审公告和招标公告，应当在国务院发展改革部门依法指定的媒介发布。</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在不同媒介发布的同一招标项目的资格预审公告或者招标公告的内容应当一致。指定媒介发布依法必须进行招标的项目的境内资格预审公告、招标公告，不得收取费用。 编制依法必须进行招标的项目的资格预审文件和招标文件，应当使用国务院发展改革部门会同有关行政监督部门制定的标准文本。 </w:t>
      </w:r>
    </w:p>
    <w:p>
      <w:pPr>
        <w:keepLines w:val="0"/>
        <w:pageBreakBefore w:val="0"/>
        <w:widowControl w:val="0"/>
        <w:numPr>
          <w:ilvl w:val="0"/>
          <w:numId w:val="3"/>
        </w:numPr>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招标人应当按照资格预审公告、招标公告或者投标邀请书规定的时间、地点发售资格预审文件或者招标文件。</w:t>
      </w:r>
      <w:r>
        <w:rPr>
          <w:rFonts w:hint="eastAsia" w:ascii="宋体" w:hAnsi="宋体" w:eastAsia="宋体" w:cs="宋体"/>
          <w:color w:val="auto"/>
          <w:sz w:val="28"/>
          <w:szCs w:val="28"/>
          <w:lang w:val="en-US" w:eastAsia="zh-CN"/>
        </w:rPr>
        <w:t xml:space="preserve">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资格预审文件或者招标文件的发售期不得少于5日。 招标人发售资格预审文件、招标文件收取的费用应当限于补偿印刷、邮寄的成本支出，不得以营利为目的。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第十七条 招标人应当合理确定提交资格预审申请文件的时间。</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依法必须进行招标的项目提交资格预审申请文件的时间，自资格预审文件停止发售之日起不得少于5日。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第十八条 资格预审应当按照资格预审文件载明的标准和方法进行。国有资金占控股或者主导地位的依法必须进行招标的项目，招标人应当组建资格审查委员会审查资格预审申请文件。</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资格审查委员会及其成员应当遵守招标投标法和本条例有关评标委员会及其成员的规定。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第十九条 资格预审结束后，招标人应当及时向资格预审申请人发出资格预审结果通知书。未通过资格预审的申请人不具有投标资格。通过资格预审的申请人少于3个的，应当重新招标。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招标人采用资格后审办法对投标人进行资格审查的，应当在开标后由评标委员会按照招标文件规定的标准和方法对投标人的资格进行审查。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招标人可以对已发出的资格预审文件或者招标文件进行必要的澄清或者修改。澄清或者修改的内容可能影响资格预审申请文件或者投标文件编制的，招标人应当在提交资格预审申请文件截止时间至少 3 日前，或者投标截止时间至少 15 日前，以书面形式通知所有获取资格预审文件或者招标文件的潜在投标人；不足3日或者15日的，招标人应当顺延提交资格预审申请文件或者投标文件的截止时间。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第二十四条 招标人对招标项目划分标段的，应当遵守招标投标法的有关规定，不得利用划分标段限制或者排斥潜在投标人。</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依法必须进行招标的项目的招标人不得利用划分标段规避招标。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招标人应当在招标文件中载明投标有效期。投标有效期从提交投标文件的截止之日起算。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招标人在招标文件中要求投标人提交投标保证金的，投标保证金不得超过招标项目估算价的 2%。投标保证金有效期应当与投标有效期一致。 依法必须进行招标的项目的境内投标单位，以现金或者支票形式提交的投标保证金应当从其基本账户转出。 招标人不得挪用投标保证金。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第二十七条 招标人可以自行决定是否编制标底。一个招标项目只能有一个标底。标底必须保密。 接受委托编制标底的中介机构不得参加受托编制标底项目的投标，也不得为该项目的投标人编制投标文件或者提供咨询。 招标人设有最高投标限价的，应当在招标文件中明确最高投标限价或者最高投标限价的计算方法。招标人不得规定最低投标限价。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第二十八条 招标人不得组织单个或者部分潜在投标人踏勘项目现场。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第二十九条 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前款所称暂估价，是指总承包招标时不能确定价格而由招标人在招标文件中暂时估定的工程、货物、服务的金额。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第三十条 对技术复杂或者无法精确拟定技术规格的项目，招标人可以分两阶段进行招标。 第一阶段，投标人按照招标公告或者投标邀请书的要求提交不带报价的技术建议，招标人根据投标人提交的技术建议确定技术标准和要求，编制招标文件。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第二阶段，招标人向在第一阶段提交技术建议的投标人提供招标文件，投标人按照招标文件的要求提交包括最终技术方案和投标报价的投标文件。 招标人要求投标人提交投标保证金的，应当在第二阶段提出。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第三十一条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招标文件的费用，以及所收取的投标保证金及银行同期存款利息。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第三十二条 招标人不得以不合理的条件限制、排斥潜在投标人或者投标人。 招标人有下列行为之一的，属于以不合理条件限制、排斥潜在投标人或者投标人：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就同一招标项目向潜在投标人或者投标人提供有差别的项目信息；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设定的资格、技术、商务条件与招标项目的具体特点和实际需要不相适应或者与合同履行无关；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依法必须进行招标的项目以特定行政区域或者特定行业的业绩、奖项作为加分条件或者中标条件；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对潜在投标人或者投标人采取不同的资格审查或者评标标准；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限定或者指定特定的专利、商标、品牌、原产地或者供应商；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依法必须进行招标的项目非法限定潜在投标人或者投标人的所有制形式或者组织形式；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以其他不合理条件限制、排斥潜在投标人或者投标人。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第三章 投 标</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第三十三条 投标人参加依法必须进行招标的项目的投标，不受地区或者部门的限制，任何单位和个人不得非法干涉。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第三十四条 与招标人存在利害关系可能影响招标公正性的法人、其他组织或者个人，不得参加投标。 单位负责人为同一人或者存在控股、管理关系的不同单位，不得参加同一标段投标或者未划分标段的同一招标项目投标。 违反前两款规定的，相关投标均无效。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第三十五条 投标人撤回已提交的投标文件，应当在投标截止时间前书面通知招标人。招标人已收取投标保证金的，应当自收到投标人书面撤回通知之日起5日内退还。 投标截止后投标人撤销投标文件的，招标人可以不退还投标保证金。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第三十六条 未通过资格预审的申请人提交的投标文件，以及逾期送达或者不按照招标文件要求密封的投标文件，招标人应当拒收。 招标人应当如实记载投标文件的送达时间和密封情况，并存档备查。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第三十七条 招标人应当在资格预审公告、招标公告或者投标邀请书中载明是否接受联合体投标。 招标人接受联合体投标并进行资格预审的，联合体应当在提交资格预审申请文件前组成。资格预审后联合体增减、更换成员的，其投标无效。 联合体各方在同一招标项目中以自己名义单独投标或者参加其他联合体投标的，相关投标均无效。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第三十八条 投标人发生合并、分立、破产等重大变化的，应当及时书面告知招标人。投标人不再具备资格预审文件、招标文件规定的资格条件或者其投标影响招标公正性的，其投标无效。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第三十九条 禁止投标人相互串通投标。 有下列情形之一的，属于投标人相互串通投标：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投标人之间协商投标报价等投标文件的实质性内容；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投标人之间约定中标人；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投标人之间约定部分投标人放弃投标或者中标；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属于同一集团、协会、商会等组织成员的投标人按照该组织要求协同投标；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投标人之间为谋取中标或者排斥特定投标人而采取的其他联合行动。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第四十条 有下列情形之一的，视为投标人相互串通投标：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不同投标人的投标文件由同一单位或者个人编制；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不同投标人委托同一单位或者个人办理投标事宜；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不同投标人的投标文件载明的项目管理成员为同一人；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不同投标人的投标文件异常一致或者投标报价呈规律性差异；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不同投标人的投标文件相互混装；</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（六）不同投标人的投标保证金从同一单位或者个人的账户转出。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第四十一条 禁止招标人与投标人串通投标。 有下列情形之一的，属于招标人与投标人串通投标：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招标人在开标前开启投标文件并将有关信息泄露给其他投标人；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招标人直接或者间接向投标人泄露标底、评标委员会成员等信息；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招标人明示或者暗示投标人压低或者抬高投标报价；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招标人授意投标人撤换、修改投标文件；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招标人明示或者暗示投标人为特定投标人中标提供方便；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招标人与投标人为谋求特定投标人中标而采取的其他串通行为。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第四十二条 使用通过受让或者租借等方式获取的资格、资质证书投标的，属于招标投标法第三十三条规定的以他人名义投标。 投标人有下列情形之一的，属于招标投标法第三十三条规定的以其他方式弄虚作假的行为：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使用伪造、变造的许可证件；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提供虚假的财务状况或者业绩；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提供虚假的项目负责人或者主要技术人员简历、劳动关系证明；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提供虚假的信用状况；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其他弄虚作假的行为。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第四十三条 提交资格预审申请文件的申请人应当遵守招标投标法和本条例有关投标人的规定。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w:t>
      </w:r>
      <w:r>
        <w:rPr>
          <w:rStyle w:val="5"/>
          <w:rFonts w:hint="eastAsia" w:cs="微软雅黑"/>
          <w:bCs w:val="0"/>
          <w:kern w:val="0"/>
          <w:sz w:val="28"/>
          <w:szCs w:val="28"/>
          <w:lang w:val="en-US" w:eastAsia="zh-CN" w:bidi="ar"/>
        </w:rPr>
        <w:t>四</w:t>
      </w:r>
      <w:r>
        <w:rPr>
          <w:rStyle w:val="5"/>
          <w:rFonts w:hint="eastAsia" w:ascii="微软雅黑" w:hAnsi="微软雅黑" w:eastAsia="微软雅黑" w:cs="微软雅黑"/>
          <w:bCs w:val="0"/>
          <w:kern w:val="0"/>
          <w:sz w:val="28"/>
          <w:szCs w:val="28"/>
          <w:lang w:val="en-US" w:eastAsia="zh-CN" w:bidi="ar"/>
        </w:rPr>
        <w:t>章</w:t>
      </w:r>
      <w:r>
        <w:rPr>
          <w:rStyle w:val="5"/>
          <w:rFonts w:hint="eastAsia" w:cs="微软雅黑"/>
          <w:bCs w:val="0"/>
          <w:kern w:val="0"/>
          <w:sz w:val="28"/>
          <w:szCs w:val="28"/>
          <w:lang w:val="en-US" w:eastAsia="zh-CN" w:bidi="ar"/>
        </w:rPr>
        <w:t xml:space="preserve"> </w:t>
      </w:r>
      <w:r>
        <w:rPr>
          <w:rStyle w:val="5"/>
          <w:rFonts w:hint="eastAsia" w:ascii="微软雅黑" w:hAnsi="微软雅黑" w:eastAsia="微软雅黑" w:cs="微软雅黑"/>
          <w:bCs w:val="0"/>
          <w:kern w:val="0"/>
          <w:sz w:val="28"/>
          <w:szCs w:val="28"/>
          <w:lang w:val="en-US" w:eastAsia="zh-CN" w:bidi="ar"/>
        </w:rPr>
        <w:t>开标、评标和中标</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第四十四条 招标人应当按照招标文件规定的时间、地点开标。投标人少于3个的，不得开标；招标人应当重新招标。 投标人对开标有异议的，应当在开标现场提出，招标人应当当场作出答复，并制作记录。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第四十五条 国家实行统一的评标专家专业分类标准和管理办法。具体标准和办法由国务院发展改革部门会同国务院有关部门制定。 省级人民政府和国务院有关部门应当组建综合评标专家库。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第四十六条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 依法必须进行招标的项目的招标人非因招标投标法和本条例规定的事由，不得更换依法确定的评标委员会成员。更换评标委员会的专家成员应当依照前款规定进行。 评标委员会成员与投标人有利害关系的，应当主动回避。 有关行政监督部门应当按照规定的职责分工，对评标委员会成员的确定方式、评标专家的抽取和评标活动进行监督。行政监督部门的工作人员不得担任本部门负责监督项目的评标委员会成员。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第四十七条 招标投标法第三十七条第三款所称特殊招标项目，是指技术复杂、专业性强或者国家有特殊要求，采取随机抽取方式确定的专家难以保证胜任评标工作的项目。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第四十八条 招标人应当向评标委员会提供评标所必需的信息，但不得明示或者暗示其倾向或者排斥特定投标人。 招标人应当根据项目规模和技术复杂程度等因素合理确定评标时间。超过三分之一的评标委员会成员认为评标时间不够的，招标人应当适当延长。评标过程中，评标委员会成员有回避事由、擅离职守或者因健康等原因不能继续评标的，应当及时更换。被更换的评标委员会成员作出的评审结论无效，由更换后的评标委员会成员重新进行评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第四十九条 评标委员会成员应当依照招标投标法和本条例的规定，按照招标文件规定的评标标准和方法，客观、公正地对投标文件提出评审意见。招标文件没有规定的评标标准和方法不得作为评标的依据。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第五十条 招标项目设有标底的，招标人应当在开标时公布。标底只能作为评标的参考，不得以投标报价是否接近标底作为中标条件，也不得以投标报价超过标底上下浮动范围作为否决投标的条件。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第五十一条 有下列情形之一的，评标委员会应当否决其投标：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投标文件未经投标单位盖章和单位负责人签字；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投标联合体没有提交共同投标协议；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投标人不符合国家或者招标文件规定的资格条件；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同一投标人提交两个以上不同的投标文件或者投标报价，但招标文件要求提交备选投标的除外；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投标报价低于成本或者高于招标文件设定的最高投标限价；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投标文件没有对招标文件的实质性要求和条件作出响应；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投标人有串通投标、弄虚作假、行贿等违法行为。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第五十二条 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评标委员会不得暗示或者诱导投标人作出澄清、说明，不得接受投标人主动提出的澄清、说明。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第五十三条 评标完成后，评标委员会应当向招标人提交书面评标报告和中标候选人名单。中标候选人应当不超过3个，并标明排序。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第五十四条 依法必须进行招标的项目，招标人应当自收到评标报告之日起3日内公示中标候选人，公示期不得少于3日。投标人或者其他利害关系人对依法必须进行招标的项目的评标结果有异议的，应当在中标候选人公示期间提出。招标人应当自收到异议之日起3日内作出答复；作出答复前，应当暂停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第五十五条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第五十六条 中标候选人的经营、财务状况发生较大变化或者存在违法行为，招标人认为可能影响其履约能力的，应当在发出中标通知书前由原评标委员会按照招标文件规定的标准和方法审查确认。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第五十七条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招标人最迟应当在书面合同签订后 5 日内向中标人和未中标的投标人退还投标保证金及银行同期存款利息。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第五十八条 招标文件要求中标人提交履约保证金的，中标人应当按照招标文件的要求提交。履约保证金不得超过中标合同金额的10%。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第五十九条 中标人应当按照合同约定履行义务，完成中标项目。中标人不得向他人转让中标项目，也不得将中标项目肢解后分别向他人转让。 中标人按照合同约定或者经招标人同意，可以将中标项目的部分非主体、非关键性工作分包给他人完成。</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接受分包的人应当具备相应的资格条件，并不得再次分包。 中标人应当就分包项目向招标人负责，接受分包的人就分包项目承担连带责任。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cs="微软雅黑"/>
          <w:bCs w:val="0"/>
          <w:kern w:val="0"/>
          <w:sz w:val="28"/>
          <w:szCs w:val="28"/>
          <w:lang w:val="en-US" w:eastAsia="zh-CN" w:bidi="ar"/>
        </w:rPr>
        <w:t xml:space="preserve">第五章 </w:t>
      </w:r>
      <w:r>
        <w:rPr>
          <w:rStyle w:val="5"/>
          <w:rFonts w:hint="eastAsia" w:ascii="微软雅黑" w:hAnsi="微软雅黑" w:eastAsia="微软雅黑" w:cs="微软雅黑"/>
          <w:bCs w:val="0"/>
          <w:kern w:val="0"/>
          <w:sz w:val="28"/>
          <w:szCs w:val="28"/>
          <w:lang w:val="en-US" w:eastAsia="zh-CN" w:bidi="ar"/>
        </w:rPr>
        <w:t>投诉与处理</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第六十条 投标人或者其他利害关系人认为招标投标活动不符合法律、行政法规规定的，可以自知道或者应当知道之日起 10 日内向有关行政监督部门投诉。投诉应当有明确的请求和必要的证明材料。 就本条例第二十二条、第四十四条、第五十四条规定事项投诉的，应当先向招标人提出异议，异议答复期间不计算在前款规定的期限内。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第六十一条 投诉人就同一事项向两个以上有权受理的行政监督部门投诉的，由最先收到投诉的行政监督部门负责处理。 行政监督部门应当自收到投诉之日起 3 个工作日内决定是否受理投诉，并自受理投诉之日起30个工作日内作出书面处理决定；需要检验、检测、鉴定、专家评审的，所需时间不计算在内。 投诉人捏造事实、伪造材料或者以非法手段取得证明材料进行投诉的，行政监督部门应当予以驳回。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第六十二条 行政监督部门处理投诉，有权查阅、复制有关文件、资料，调查有关情况，相关单位和人员应当予以配合。必要时，行政监督部门可以责令暂停招标投标活动。 行政监督部门的工作人员对监督检查过程中知悉的国家秘密、商业秘密，应当依法予以保密。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第六章 法律责任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第六十三条 招标人有下列限制或者排斥潜在投标人行为之一的，由有关行政监督部门依照招标投标法第五十一条的规定处罚：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依法应当公开招标的项目不按照规定在指定媒介发布资格预审公告或者招标公告；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在不同媒介发布的同一招标项目的资格预审公告或者招标公告的内容不一致，影响潜在投标人申请资格预审或者投标。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依法必须进行招标的项目的招标人不按照规定发布资格预审公告或者招标公告，构成规避招标的，依照招标投标法第四十九条的规定处罚。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第六十四条 招标人有下列情形之一的，由有关行政监督部门责令改正，可以处10万元以下的罚款：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）依法应当公开招标而采用邀请招标；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）招标文件、资格预审文件的发售、澄清、修改的时限，或者确定的提交资格预审申请文件、投标文件的时限不符合招标投标法和本条例规定；</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（三）接受未通过资格预审的单位或者个人参加投标；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（四）接受应当拒收的投标文件。 招标人有前款第一项、第三项、第四项所列行为之一的，对单位直接负责的主管人员和其他直接责任人员依法给予处分。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1年至2年内参加依法必须进行招标的项目的投标资格：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）以行贿谋取中标；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）3年内2次以上串通投标；</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（三）串通投标行为损害招标人、其他投标人或者国家、集体、公民的合法利益，造成直接经济损失30万元以上；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（四）其他串通投标情节严重的行为。 投标人自本条第二款规定的处罚执行期限届满之日起 3 年内又有该款所列违法行为之一的，或者串通投标、以行贿谋取中标情节特别严重的，由工商行政管理机关吊销营业执照。 法律、行政法规对串通投标报价行为的处罚另有规定的，从其规定。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 投标人有下列行为之一的，属于招标投标法第五十四条规定的情节严重行为，由有关行政监督部门取消其1年至3年内参加依法必须进行招标的项目的投标资格：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）伪造、变造资格、资质证书或者其他许可证件骗取中标；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）3年内2次以上使用他人名义投标；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（三）弄虚作假骗取中标给招标人造成直接经济损失30万元以上；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）其他弄虚作假骗取中标情节严重的行为。投标人自本条第二款规定的处罚执行期限届满之日起 3 年内又有该款所列违法行为之一的，或者弄虚作假骗取中标情节特别严重的，由工商行政管理机关吊销营业执照。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第六十九条 出让或者出租资格、资质证书供他人投标的，依照法律、行政法规的规定给予行政处罚；构成犯罪的，依法追究刑事责任。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第七十条 依法必须进行招标的项目的招标人不按照规定组建评标委员会，或者确定、更换评标委员会成员违反招标投标法和本条例规定的，由有关行政监督部门责令改正，可以处 10 万元以下的罚款，对单位直接负责的主管人员和其他直接责任人员依法给予处分；违法确定或者更换的评标委员会成员作出的评审结论无效，依法重新进行评审。 国家工作人员以任何方式非法干涉选取评标委员会成员的，依照本条例第八十条的规定追究法律责任。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第七十一条 评标委员会成员有下列行为之一的，由有关行政监督部门责令改正；情节严重的，禁止其在一定期限内参加依法必须进行招标的项目的评标；情节特别严重的，取消其担任评标委员会成员的资格：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）应当回避而不回避；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）擅离职守；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）不按照招标文件规定的评标标准和方法评标；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）私下接触投标人；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）向招标人征询确定中标人的意向或者接受任何单位或者个人明示或者暗示提出的倾向或者排斥特定投标人的要求；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）对依法应当否决的投标不提出否决意见；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）暗示或者诱导投标人作出澄清、说明或者接受投标人主动提出的澄清、说明；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）其他不客观、不公正履行职务的行为。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第七十二条 评标委员会成员收受投标人的财物或者其他好处的，没收收受的财物，处3000元以上5万元以下的罚款，取消担任评标委员会成员的资格，不得再参加依法必须进行招标的项目的评标；构成犯罪的，依法追究刑事责任。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第七十三条 依法必须进行招标的项目的招标人有下列情形之一的，由有关行政监督部门责令改正，可以处中标项目金额 10‰以下的罚款；给他人造成损失的，依法承担赔偿责任；对单位直接负责的主管人员和其他直接责任人员依法给予处分：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）无正当理由不发出中标通知书；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）不按照规定确定中标人；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（三）中标通知书发出后无正当理由改变中标结果；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）无正当理由不与中标人订立合同；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）在订立合同时向中标人提出附加条件。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 以下的罚款；有违法所得的，并处没收违法所得；可以责令停业整顿；情节严重的，由工商行政管理机关吊销营业执照。</w:t>
      </w:r>
      <w:r>
        <w:rPr>
          <w:rFonts w:hint="eastAsia" w:ascii="宋体" w:hAnsi="宋体" w:eastAsia="宋体" w:cs="宋体"/>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第七十七条 投标人或者其他利害关系人捏造事实、伪造材料或者以非法手段取得证明材料进行投诉，给他人造成损失的，依法承担赔偿责任。 招标人不按照规定对异议作出答复，继续进行招标投标活动的，由有关行政监督部门责令改正，拒不改正或者不能改正并影响中标结果的，依照本条例第八十一条的规定处理。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第七十八条 国家建立招标投标信用制度。有关行政监督部门应当依法公告对招标人、招标代理机构、投标人、评标委员会成员等当事人违法行为的行政处理决定。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第七十九条 项目审批、核准部门不依法审批、核准项目招标范围、招标方式、招标组织形式的，对单位直接负责的主管人员和其他直接责任人员依法给予处分。 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 项目审批、核准部门和有关行政监督部门的工作人员徇私舞弊、滥用职权、玩忽职守，构成犯罪的，依法追究刑事责任。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第八十条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）要求对依法必须进行招标的项目不招标，或者要求对依法应当公开招标的项目不公开招标；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）要求评标委员会成员或者招标人以其指定的投标人作为中标候选人或者中标人，或者以其他方式非法干涉评标活动，影响中标结果；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（三）以其他方式非法干涉招标投标活动。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第八十一条 依法必须进行招标的项目的招标投标活动违反招标投标法和本条例的规定，对中标结果造成实质性影响，且不能采取补救措施予以纠正的，招标、投标、中标无效，应当依法重新招标或者评标。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cs="微软雅黑"/>
          <w:bCs w:val="0"/>
          <w:kern w:val="0"/>
          <w:sz w:val="28"/>
          <w:szCs w:val="28"/>
          <w:lang w:val="en-US" w:eastAsia="zh-CN" w:bidi="ar"/>
        </w:rPr>
        <w:t xml:space="preserve">第七章 </w:t>
      </w:r>
      <w:bookmarkStart w:id="0" w:name="_GoBack"/>
      <w:bookmarkEnd w:id="0"/>
      <w:r>
        <w:rPr>
          <w:rStyle w:val="5"/>
          <w:rFonts w:hint="eastAsia" w:ascii="微软雅黑" w:hAnsi="微软雅黑" w:eastAsia="微软雅黑" w:cs="微软雅黑"/>
          <w:bCs w:val="0"/>
          <w:kern w:val="0"/>
          <w:sz w:val="28"/>
          <w:szCs w:val="28"/>
          <w:lang w:val="en-US" w:eastAsia="zh-CN" w:bidi="ar"/>
        </w:rPr>
        <w:t>附 则</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第八十二条 招标投标协会按照依法制定的章程开展活动，加强行业自律和服务。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第八十三条 政府采购的法律、行政法规对政府采购货物、服务的招标投标另有规定的，从其规定。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第八十四条 本条例自2012年2月1日起施行。</w:t>
      </w:r>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DC788"/>
    <w:multiLevelType w:val="singleLevel"/>
    <w:tmpl w:val="951DC788"/>
    <w:lvl w:ilvl="0" w:tentative="0">
      <w:start w:val="5"/>
      <w:numFmt w:val="chineseCounting"/>
      <w:suff w:val="space"/>
      <w:lvlText w:val="第%1条"/>
      <w:lvlJc w:val="left"/>
      <w:rPr>
        <w:rFonts w:hint="eastAsia"/>
      </w:rPr>
    </w:lvl>
  </w:abstractNum>
  <w:abstractNum w:abstractNumId="1">
    <w:nsid w:val="CD281EF6"/>
    <w:multiLevelType w:val="singleLevel"/>
    <w:tmpl w:val="CD281EF6"/>
    <w:lvl w:ilvl="0" w:tentative="0">
      <w:start w:val="16"/>
      <w:numFmt w:val="chineseCounting"/>
      <w:suff w:val="space"/>
      <w:lvlText w:val="第%1条"/>
      <w:lvlJc w:val="left"/>
      <w:rPr>
        <w:rFonts w:hint="eastAsia"/>
      </w:rPr>
    </w:lvl>
  </w:abstractNum>
  <w:abstractNum w:abstractNumId="2">
    <w:nsid w:val="705F6433"/>
    <w:multiLevelType w:val="singleLevel"/>
    <w:tmpl w:val="705F6433"/>
    <w:lvl w:ilvl="0" w:tentative="0">
      <w:start w:val="9"/>
      <w:numFmt w:val="chineseCounting"/>
      <w:suff w:val="space"/>
      <w:lvlText w:val="第%1条"/>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B1A184A"/>
    <w:rsid w:val="0B1A184A"/>
    <w:rsid w:val="7EF26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2"/>
    <w:next w:val="1"/>
    <w:unhideWhenUsed/>
    <w:qFormat/>
    <w:uiPriority w:val="9"/>
    <w:pPr>
      <w:keepNext/>
      <w:keepLines/>
      <w:spacing w:after="4" w:line="255" w:lineRule="auto"/>
      <w:ind w:left="10" w:right="431" w:hanging="10"/>
      <w:outlineLvl w:val="1"/>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2023-08-01T05:19:00Z</dcterms:created>
  <dc:creator>ʚ  ɞ</dc:creator>
  <cp:lastModifiedBy>WPS_1505371123</cp:lastModifiedBy>
  <dcterms:modified xsi:type="dcterms:W3CDTF">2023-08-03T05:26:57Z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92F2C9DDD9FA4764AF44CA168007087B_11</vt:lpwstr>
  </property>
</Properties>
</file>