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line="240" w:lineRule="auto"/>
        <w:jc w:val="center"/>
        <w:rPr>
          <w:rFonts w:hint="eastAsia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  <w:lang w:val="en-US" w:eastAsia="zh-CN"/>
        </w:rPr>
        <w:t>招标文件制作常见问题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2"/>
        <w:gridCol w:w="3824"/>
        <w:gridCol w:w="9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招标文件无法领取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检查招标公告中设置的招标文件发布日期，如若超时建议发变更公告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除正选以外的单位能下载招标文件吗？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不可以，只有在正选列表中的单位可以下载招标文件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招标文件制作时显示“无权限操作......”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可能是用不同的锁登录，生成的是哪把锁就用哪把锁操作。（可把编辑中的招标文件删除，重新制作）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项目注册和公告有+号，招标文件生成后+号不显示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系统生成文件时自动去除特殊符号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招标文件已通过审核，保证金金额还能进行修改吗？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招标文件发布后无法修改保证金金额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制作招标文件时，合同条款及发包人要求模块提示“文件存取错误”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驱动未安装好，安装驱动时关闭安全管家之类的软件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制作招标文件时点击“修改”，跳转界面空白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模板选择错误，删除编辑中的重新选择范本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招标文件中如何上传图纸等其他材料？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市政招标文件在招标文件制作工具“图纸”等相关菜单下上传；其他范本若无相应菜单，则在“招标文件的其他材料”菜单上传；纸质标图纸文件在业务系统新增招标文件页面05附件信息下“图纸文件”模块上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招标文件无法签章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按照驱动安装操作手册，正确安装驱动，浏览器添加兼容性视图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生成的招标文件在合同条款及格式中有重复项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设置的合同格式内容和范本的内容重复了，重新编辑合同条款及格式</w:t>
            </w:r>
          </w:p>
        </w:tc>
      </w:tr>
    </w:tbl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F1F1F"/>
    <w:rsid w:val="2AD20E8A"/>
    <w:rsid w:val="651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2023-06-29T09:13:00Z</dcterms:created>
  <dc:creator>NL</dc:creator>
  <cp:lastModifiedBy>NL</cp:lastModifiedBy>
  <dcterms:modified xsi:type="dcterms:W3CDTF">2023-06-29T10:30:40Z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BF3DF37A533F420A93A315C4A5F017B5</vt:lpwstr>
  </property>
</Properties>
</file>